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2580"/>
        <w:gridCol w:w="2381"/>
      </w:tblGrid>
      <w:tr w:rsidTr="00B06190">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1"/>
          <w:wAfter w:w="2381" w:type="dxa"/>
          <w:cantSplit/>
          <w:trHeight w:val="569"/>
        </w:trPr>
        <w:tc>
          <w:tcPr>
            <w:tcW w:w="4928" w:type="dxa"/>
            <w:shd w:val="clear" w:color="auto" w:fill="BFBFBF"/>
            <w:vAlign w:val="center"/>
          </w:tcPr>
          <w:p w:rsidR="00491976" w:rsidRPr="009E2B84"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37711"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580" w:type="dxa"/>
            <w:shd w:val="clear" w:color="auto" w:fill="BFBFBF"/>
            <w:vAlign w:val="center"/>
          </w:tcPr>
          <w:p w:rsidR="00491976" w:rsidRPr="009E2B84" w:rsidP="00AC4A99">
            <w:pPr>
              <w:jc w:val="center"/>
              <w:rPr>
                <w:b/>
              </w:rPr>
            </w:pPr>
            <w:r w:rsidRPr="009E2B84">
              <w:rPr>
                <w:b/>
              </w:rPr>
              <w:t>ON</w:t>
            </w:r>
          </w:p>
        </w:tc>
      </w:tr>
      <w:tr w:rsidTr="00B06190">
        <w:tblPrEx>
          <w:tblW w:w="9889" w:type="dxa"/>
          <w:tblLayout w:type="fixed"/>
          <w:tblLook w:val="0000"/>
        </w:tblPrEx>
        <w:trPr>
          <w:gridAfter w:val="1"/>
          <w:wAfter w:w="2381" w:type="dxa"/>
          <w:cantSplit/>
          <w:trHeight w:val="654"/>
        </w:trPr>
        <w:tc>
          <w:tcPr>
            <w:tcW w:w="4928" w:type="dxa"/>
            <w:tcBorders>
              <w:bottom w:val="nil"/>
            </w:tcBorders>
            <w:vAlign w:val="center"/>
          </w:tcPr>
          <w:p w:rsidR="00491976" w:rsidRPr="009E2B84" w:rsidP="00AC4A99">
            <w:pPr>
              <w:jc w:val="center"/>
              <w:rPr>
                <w:b/>
                <w:sz w:val="24"/>
                <w:szCs w:val="24"/>
              </w:rPr>
            </w:pPr>
            <w:r w:rsidRPr="009E2B84">
              <w:rPr>
                <w:b/>
                <w:sz w:val="24"/>
                <w:szCs w:val="24"/>
              </w:rPr>
              <w:t>CABINET</w:t>
            </w:r>
          </w:p>
        </w:tc>
        <w:tc>
          <w:tcPr>
            <w:tcW w:w="2580" w:type="dxa"/>
            <w:tcBorders>
              <w:bottom w:val="nil"/>
            </w:tcBorders>
            <w:vAlign w:val="center"/>
          </w:tcPr>
          <w:p w:rsidR="00491976" w:rsidRPr="00393E13" w:rsidP="00491976">
            <w:pPr>
              <w:jc w:val="center"/>
              <w:rPr>
                <w:b/>
              </w:rPr>
            </w:pPr>
            <w:r>
              <w:t>18/03/</w:t>
            </w:r>
            <w:r w:rsidRPr="00F40F42">
              <w:t>20</w:t>
            </w:r>
          </w:p>
        </w:tc>
      </w:tr>
      <w:tr w:rsidTr="00B06190">
        <w:tblPrEx>
          <w:tblW w:w="9889" w:type="dxa"/>
          <w:tblLayout w:type="fixed"/>
          <w:tblLook w:val="0000"/>
        </w:tblPrEx>
        <w:trPr>
          <w:gridAfter w:val="1"/>
          <w:wAfter w:w="2381" w:type="dxa"/>
          <w:cantSplit/>
          <w:trHeight w:val="560"/>
        </w:trPr>
        <w:tc>
          <w:tcPr>
            <w:tcW w:w="7508" w:type="dxa"/>
            <w:gridSpan w:val="2"/>
            <w:tcBorders>
              <w:left w:val="nil"/>
              <w:right w:val="nil"/>
            </w:tcBorders>
          </w:tcPr>
          <w:p w:rsidR="00491976" w:rsidRPr="009E2B84" w:rsidP="00407A09">
            <w:pPr>
              <w:jc w:val="right"/>
              <w:rPr>
                <w:sz w:val="8"/>
              </w:rPr>
            </w:pPr>
          </w:p>
        </w:tc>
      </w:tr>
      <w:tr w:rsidTr="00B06190">
        <w:tblPrEx>
          <w:tblW w:w="9889" w:type="dxa"/>
          <w:tblLayout w:type="fixed"/>
          <w:tblLook w:val="0000"/>
        </w:tblPrEx>
        <w:trPr>
          <w:cantSplit/>
        </w:trPr>
        <w:tc>
          <w:tcPr>
            <w:tcW w:w="4928" w:type="dxa"/>
            <w:shd w:val="clear" w:color="auto" w:fill="BFBFBF"/>
            <w:vAlign w:val="center"/>
          </w:tcPr>
          <w:p w:rsidR="00491976" w:rsidRPr="009E2B84" w:rsidP="00AC4A99">
            <w:pPr>
              <w:jc w:val="center"/>
              <w:rPr>
                <w:b/>
              </w:rPr>
            </w:pPr>
            <w:r w:rsidRPr="009E2B84">
              <w:rPr>
                <w:b/>
              </w:rPr>
              <w:t>TITLE</w:t>
            </w:r>
          </w:p>
        </w:tc>
        <w:tc>
          <w:tcPr>
            <w:tcW w:w="2580" w:type="dxa"/>
            <w:shd w:val="clear" w:color="auto" w:fill="BFBFBF"/>
            <w:vAlign w:val="center"/>
          </w:tcPr>
          <w:p w:rsidR="00491976" w:rsidRPr="009E2B84" w:rsidP="00AC4A99">
            <w:pPr>
              <w:jc w:val="center"/>
              <w:rPr>
                <w:b/>
              </w:rPr>
            </w:pPr>
            <w:r w:rsidRPr="009E2B84">
              <w:rPr>
                <w:b/>
              </w:rPr>
              <w:t>PORTFOLIO</w:t>
            </w:r>
          </w:p>
        </w:tc>
        <w:tc>
          <w:tcPr>
            <w:tcW w:w="2381" w:type="dxa"/>
            <w:shd w:val="clear" w:color="auto" w:fill="BFBFBF"/>
            <w:vAlign w:val="center"/>
          </w:tcPr>
          <w:p w:rsidR="00491976" w:rsidRPr="009E2B84" w:rsidP="00AC4A99">
            <w:pPr>
              <w:jc w:val="center"/>
              <w:rPr>
                <w:b/>
              </w:rPr>
            </w:pPr>
            <w:r>
              <w:rPr>
                <w:b/>
              </w:rPr>
              <w:t>REPORT OF</w:t>
            </w:r>
          </w:p>
        </w:tc>
      </w:tr>
      <w:tr w:rsidTr="00B06190">
        <w:tblPrEx>
          <w:tblW w:w="9889" w:type="dxa"/>
          <w:tblLayout w:type="fixed"/>
          <w:tblLook w:val="0000"/>
        </w:tblPrEx>
        <w:trPr>
          <w:cantSplit/>
          <w:trHeight w:val="667"/>
        </w:trPr>
        <w:tc>
          <w:tcPr>
            <w:tcW w:w="4928" w:type="dxa"/>
            <w:vAlign w:val="center"/>
          </w:tcPr>
          <w:p w:rsidR="00491976" w:rsidRPr="009E2B84" w:rsidP="00AC4A99">
            <w:pPr>
              <w:rPr>
                <w:b/>
              </w:rPr>
            </w:pPr>
          </w:p>
          <w:p w:rsidR="00E44DFD" w:rsidP="00E44DFD">
            <w:pPr>
              <w:autoSpaceDE w:val="0"/>
              <w:autoSpaceDN w:val="0"/>
              <w:adjustRightInd w:val="0"/>
              <w:rPr>
                <w:rFonts w:ascii="ArialMT" w:hAnsi="ArialMT" w:cs="ArialMT"/>
                <w:szCs w:val="22"/>
              </w:rPr>
            </w:pPr>
            <w:r>
              <w:rPr>
                <w:rFonts w:ascii="ArialMT" w:hAnsi="ArialMT" w:cs="ArialMT"/>
                <w:szCs w:val="22"/>
              </w:rPr>
              <w:t>Station Road, Bamber Bridge Site Conversion</w:t>
            </w:r>
          </w:p>
          <w:p w:rsidR="00491976" w:rsidP="00E44DFD">
            <w:pPr>
              <w:rPr>
                <w:rFonts w:ascii="ArialMT" w:hAnsi="ArialMT" w:cs="ArialMT"/>
                <w:szCs w:val="22"/>
              </w:rPr>
            </w:pPr>
            <w:r>
              <w:rPr>
                <w:rFonts w:ascii="ArialMT" w:hAnsi="ArialMT" w:cs="ArialMT"/>
                <w:szCs w:val="22"/>
              </w:rPr>
              <w:t>to Affordable Rented Accommodation.</w:t>
            </w:r>
          </w:p>
          <w:p w:rsidR="00E44DFD" w:rsidRPr="009E2B84" w:rsidP="00E44DFD">
            <w:pPr>
              <w:rPr>
                <w:b/>
              </w:rPr>
            </w:pPr>
          </w:p>
        </w:tc>
        <w:tc>
          <w:tcPr>
            <w:tcW w:w="2580" w:type="dxa"/>
            <w:vAlign w:val="center"/>
          </w:tcPr>
          <w:p w:rsidR="00E44DFD" w:rsidP="00E44DFD">
            <w:pPr>
              <w:autoSpaceDE w:val="0"/>
              <w:autoSpaceDN w:val="0"/>
              <w:adjustRightInd w:val="0"/>
              <w:jc w:val="center"/>
              <w:rPr>
                <w:rFonts w:ascii="ArialMT" w:hAnsi="ArialMT" w:cs="ArialMT"/>
                <w:color w:val="000000"/>
                <w:szCs w:val="22"/>
              </w:rPr>
            </w:pPr>
          </w:p>
          <w:p w:rsidR="00491976" w:rsidRPr="00B06190" w:rsidP="00E44DFD">
            <w:pPr>
              <w:jc w:val="center"/>
              <w:rPr>
                <w:rFonts w:cs="Arial"/>
                <w:b/>
              </w:rPr>
            </w:pPr>
            <w:r>
              <w:rPr>
                <w:rFonts w:cs="Arial"/>
                <w:color w:val="333333"/>
                <w:szCs w:val="22"/>
              </w:rPr>
              <w:t xml:space="preserve"> Finance Property and Assets</w:t>
            </w:r>
          </w:p>
        </w:tc>
        <w:tc>
          <w:tcPr>
            <w:tcW w:w="2381" w:type="dxa"/>
            <w:vAlign w:val="center"/>
          </w:tcPr>
          <w:p w:rsidR="00E44DFD" w:rsidP="00E44DFD">
            <w:pPr>
              <w:autoSpaceDE w:val="0"/>
              <w:autoSpaceDN w:val="0"/>
              <w:adjustRightInd w:val="0"/>
              <w:jc w:val="center"/>
              <w:rPr>
                <w:rFonts w:ascii="ArialMT" w:hAnsi="ArialMT" w:cs="ArialMT"/>
                <w:szCs w:val="22"/>
              </w:rPr>
            </w:pPr>
            <w:r>
              <w:rPr>
                <w:rFonts w:ascii="ArialMT" w:hAnsi="ArialMT" w:cs="ArialMT"/>
                <w:szCs w:val="22"/>
              </w:rPr>
              <w:t>Director of Planning</w:t>
            </w:r>
          </w:p>
          <w:p w:rsidR="00491976" w:rsidRPr="009E2B84" w:rsidP="00E44DFD">
            <w:pPr>
              <w:jc w:val="center"/>
              <w:rPr>
                <w:i/>
              </w:rPr>
            </w:pPr>
            <w:r>
              <w:rPr>
                <w:rFonts w:ascii="ArialMT" w:hAnsi="ArialMT" w:cs="ArialMT"/>
                <w:szCs w:val="22"/>
              </w:rPr>
              <w:t>and Property</w:t>
            </w:r>
          </w:p>
        </w:tc>
      </w:tr>
    </w:tbl>
    <w:p w:rsidR="002F5C5E" w:rsidRPr="009E2B84"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2"/>
        <w:gridCol w:w="3266"/>
      </w:tblGrid>
      <w:tr w:rsidTr="00E50A9C">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18" w:type="dxa"/>
            <w:gridSpan w:val="2"/>
            <w:tcBorders>
              <w:top w:val="nil"/>
              <w:left w:val="nil"/>
              <w:right w:val="nil"/>
            </w:tcBorders>
            <w:shd w:val="clear" w:color="auto" w:fill="auto"/>
          </w:tcPr>
          <w:p w:rsidR="002F5C5E" w:rsidRPr="009C1143" w:rsidP="00AC4A99">
            <w:pPr>
              <w:tabs>
                <w:tab w:val="left" w:pos="1055"/>
              </w:tabs>
              <w:rPr>
                <w:i/>
                <w:color w:val="2E74B5"/>
                <w:szCs w:val="22"/>
              </w:rPr>
            </w:pPr>
          </w:p>
        </w:tc>
      </w:tr>
      <w:tr w:rsidTr="00AC4A99">
        <w:tblPrEx>
          <w:tblW w:w="9918" w:type="dxa"/>
          <w:tblLook w:val="04A0"/>
        </w:tblPrEx>
        <w:tc>
          <w:tcPr>
            <w:tcW w:w="6652" w:type="dxa"/>
            <w:shd w:val="clear" w:color="auto" w:fill="auto"/>
          </w:tcPr>
          <w:p w:rsidR="002F5C5E" w:rsidRPr="009C1143"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Pr>
                <w:szCs w:val="22"/>
              </w:rPr>
              <w:t>100</w:t>
            </w:r>
            <w:r w:rsidRPr="009C1143">
              <w:rPr>
                <w:szCs w:val="22"/>
              </w:rPr>
              <w:t>,000 or impacting on more than 2 Borough wards?)</w:t>
            </w:r>
          </w:p>
          <w:p w:rsidR="002F5C5E" w:rsidRPr="009C1143" w:rsidP="00AC4A99">
            <w:pPr>
              <w:rPr>
                <w:szCs w:val="22"/>
              </w:rPr>
            </w:pPr>
          </w:p>
          <w:p w:rsidR="002F5C5E" w:rsidRPr="009C1143" w:rsidP="00AC4A99">
            <w:pPr>
              <w:rPr>
                <w:szCs w:val="22"/>
              </w:rPr>
            </w:pPr>
            <w:r w:rsidRPr="009C1143">
              <w:rPr>
                <w:szCs w:val="22"/>
              </w:rPr>
              <w:t xml:space="preserve">Is this report on the </w:t>
            </w:r>
            <w:r>
              <w:rPr>
                <w:b/>
                <w:szCs w:val="22"/>
              </w:rPr>
              <w:t xml:space="preserve">Statutory </w:t>
            </w:r>
            <w:r w:rsidRPr="009C1143">
              <w:rPr>
                <w:b/>
                <w:szCs w:val="22"/>
              </w:rPr>
              <w:t>Cabinet Forward Plan</w:t>
            </w:r>
            <w:r w:rsidRPr="009C1143">
              <w:rPr>
                <w:szCs w:val="22"/>
              </w:rPr>
              <w:t>?</w:t>
            </w:r>
          </w:p>
          <w:p w:rsidR="002F5C5E" w:rsidP="00AC4A99">
            <w:pPr>
              <w:rPr>
                <w:szCs w:val="22"/>
              </w:rPr>
            </w:pPr>
          </w:p>
          <w:p w:rsidR="00594D09" w:rsidRPr="009C1143" w:rsidP="00AC4A99">
            <w:pPr>
              <w:rPr>
                <w:szCs w:val="22"/>
              </w:rPr>
            </w:pPr>
          </w:p>
          <w:p w:rsidR="00DE5E12" w:rsidP="00AC4A99">
            <w:pPr>
              <w:rPr>
                <w:szCs w:val="22"/>
              </w:rPr>
            </w:pPr>
            <w:r w:rsidRPr="009C1143">
              <w:rPr>
                <w:szCs w:val="22"/>
              </w:rPr>
              <w:t>Is the request outside the policy and budgetary framework and therefore subject to confirmation at f</w:t>
            </w:r>
            <w:r w:rsidRPr="009C1143">
              <w:rPr>
                <w:szCs w:val="22"/>
              </w:rPr>
              <w:t xml:space="preserve">ull Council? </w:t>
            </w:r>
          </w:p>
          <w:p w:rsidR="002F5C5E" w:rsidP="00AC4A99">
            <w:pPr>
              <w:rPr>
                <w:szCs w:val="22"/>
              </w:rPr>
            </w:pPr>
          </w:p>
          <w:p w:rsidR="00E50A9C" w:rsidP="00AC4A99">
            <w:pPr>
              <w:rPr>
                <w:szCs w:val="22"/>
              </w:rPr>
            </w:pPr>
            <w:r>
              <w:rPr>
                <w:szCs w:val="22"/>
              </w:rPr>
              <w:t>Is this report confidential?</w:t>
            </w:r>
          </w:p>
          <w:p w:rsidR="00BD2AFE" w:rsidRPr="009C1143" w:rsidP="0043050F">
            <w:pPr>
              <w:rPr>
                <w:szCs w:val="22"/>
              </w:rPr>
            </w:pPr>
          </w:p>
        </w:tc>
        <w:tc>
          <w:tcPr>
            <w:tcW w:w="3266" w:type="dxa"/>
            <w:shd w:val="clear" w:color="auto" w:fill="auto"/>
          </w:tcPr>
          <w:p w:rsidR="002F5C5E" w:rsidRPr="00F3057A" w:rsidP="00AC4A99">
            <w:pPr>
              <w:rPr>
                <w:b/>
                <w:szCs w:val="22"/>
              </w:rPr>
            </w:pPr>
            <w:r w:rsidRPr="00F3057A">
              <w:rPr>
                <w:b/>
                <w:szCs w:val="22"/>
              </w:rPr>
              <w:t xml:space="preserve">Yes   </w:t>
            </w:r>
          </w:p>
          <w:p w:rsidR="002F5C5E" w:rsidP="00AC4A99">
            <w:pPr>
              <w:rPr>
                <w:szCs w:val="22"/>
              </w:rPr>
            </w:pPr>
          </w:p>
          <w:p w:rsidR="00393E13" w:rsidRPr="009C1143" w:rsidP="00AC4A99">
            <w:pPr>
              <w:rPr>
                <w:szCs w:val="22"/>
              </w:rPr>
            </w:pPr>
          </w:p>
          <w:p w:rsidR="002F5C5E" w:rsidP="00AC4A99">
            <w:pPr>
              <w:rPr>
                <w:b/>
                <w:szCs w:val="22"/>
              </w:rPr>
            </w:pPr>
            <w:r w:rsidRPr="00F3057A">
              <w:rPr>
                <w:b/>
                <w:szCs w:val="22"/>
              </w:rPr>
              <w:t xml:space="preserve">Yes  </w:t>
            </w:r>
          </w:p>
          <w:p w:rsidR="00E44DFD" w:rsidP="00AC4A99">
            <w:pPr>
              <w:rPr>
                <w:b/>
                <w:szCs w:val="22"/>
              </w:rPr>
            </w:pPr>
          </w:p>
          <w:p w:rsidR="002F5C5E" w:rsidRPr="00F3057A" w:rsidP="00AC4A99">
            <w:pPr>
              <w:rPr>
                <w:b/>
                <w:szCs w:val="22"/>
              </w:rPr>
            </w:pPr>
          </w:p>
          <w:p w:rsidR="002F5C5E" w:rsidP="00AC4A99">
            <w:pPr>
              <w:rPr>
                <w:b/>
                <w:szCs w:val="22"/>
              </w:rPr>
            </w:pPr>
            <w:r w:rsidRPr="00F3057A">
              <w:rPr>
                <w:b/>
                <w:szCs w:val="22"/>
              </w:rPr>
              <w:t xml:space="preserve"> No</w:t>
            </w:r>
          </w:p>
          <w:p w:rsidR="00E50A9C" w:rsidP="00AC4A99">
            <w:pPr>
              <w:rPr>
                <w:b/>
                <w:szCs w:val="22"/>
              </w:rPr>
            </w:pPr>
          </w:p>
          <w:p w:rsidR="00E50A9C" w:rsidP="00AC4A99">
            <w:pPr>
              <w:rPr>
                <w:b/>
                <w:szCs w:val="22"/>
              </w:rPr>
            </w:pPr>
          </w:p>
          <w:p w:rsidR="00594D09" w:rsidP="007A0801">
            <w:pPr>
              <w:rPr>
                <w:b/>
                <w:szCs w:val="22"/>
              </w:rPr>
            </w:pPr>
            <w:r>
              <w:rPr>
                <w:b/>
                <w:szCs w:val="22"/>
              </w:rPr>
              <w:t>No</w:t>
            </w:r>
          </w:p>
          <w:p w:rsidR="00594D09" w:rsidRPr="009C1143" w:rsidP="00E44DFD">
            <w:pPr>
              <w:rPr>
                <w:szCs w:val="22"/>
              </w:rPr>
            </w:pPr>
          </w:p>
        </w:tc>
      </w:tr>
    </w:tbl>
    <w:p w:rsidR="002C71DE" w:rsidP="00594D09">
      <w:pPr>
        <w:keepNext/>
        <w:outlineLvl w:val="0"/>
        <w:rPr>
          <w:color w:val="000000"/>
          <w:szCs w:val="22"/>
        </w:rPr>
      </w:pPr>
    </w:p>
    <w:p w:rsidR="002C71DE" w:rsidRPr="00833F9E" w:rsidP="002C71DE">
      <w:pPr>
        <w:jc w:val="center"/>
        <w:rPr>
          <w:b/>
          <w:color w:val="5B9BD5" w:themeColor="accent1"/>
          <w:sz w:val="16"/>
          <w:szCs w:val="16"/>
        </w:rPr>
      </w:pPr>
    </w:p>
    <w:p w:rsidR="002C71DE" w:rsidP="00594D09">
      <w:pPr>
        <w:keepNext/>
        <w:outlineLvl w:val="0"/>
        <w:rPr>
          <w:b/>
          <w:szCs w:val="22"/>
        </w:rPr>
      </w:pPr>
    </w:p>
    <w:p w:rsidR="008C04DA" w:rsidRPr="00125270" w:rsidP="00125270">
      <w:pPr>
        <w:keepNext/>
        <w:outlineLvl w:val="0"/>
        <w:rPr>
          <w:rFonts w:cs="Arial"/>
          <w:b/>
        </w:rPr>
      </w:pPr>
      <w:r w:rsidRPr="00125270">
        <w:rPr>
          <w:rFonts w:cs="Arial"/>
          <w:b/>
        </w:rPr>
        <w:t xml:space="preserve">PURPOSE OF THE REPORT </w:t>
      </w:r>
    </w:p>
    <w:p w:rsidR="007A0801" w:rsidRPr="004C084F" w:rsidP="00594D09">
      <w:pPr>
        <w:keepNext/>
        <w:outlineLvl w:val="0"/>
        <w:rPr>
          <w:rFonts w:cs="Arial"/>
          <w:b/>
          <w:szCs w:val="22"/>
        </w:rPr>
      </w:pPr>
    </w:p>
    <w:p w:rsidR="002F5C5E" w:rsidRPr="00B06190" w:rsidP="00125270">
      <w:pPr>
        <w:pStyle w:val="ListParagraph"/>
        <w:numPr>
          <w:ilvl w:val="0"/>
          <w:numId w:val="17"/>
        </w:numPr>
        <w:jc w:val="both"/>
        <w:rPr>
          <w:rFonts w:ascii="Arial" w:hAnsi="Arial" w:cs="Arial"/>
        </w:rPr>
      </w:pPr>
      <w:r w:rsidRPr="00B06190">
        <w:rPr>
          <w:rFonts w:ascii="Arial" w:hAnsi="Arial" w:cs="Arial"/>
        </w:rPr>
        <w:t xml:space="preserve">The purpose of this report is to seek Cabinet approval to enter into a legal agreement with Community Gateway Association (CGA) to manage the </w:t>
      </w:r>
      <w:r w:rsidRPr="00B06190">
        <w:rPr>
          <w:rFonts w:ascii="Arial" w:hAnsi="Arial" w:cs="Arial"/>
        </w:rPr>
        <w:t>affordable housing accommodation at the Station Road site in Bamber bridge once the conversion work is completed.</w:t>
      </w:r>
    </w:p>
    <w:p w:rsidR="00E44DFD" w:rsidRPr="004C084F" w:rsidP="00E44DFD">
      <w:pPr>
        <w:rPr>
          <w:rFonts w:cs="Arial"/>
          <w:szCs w:val="22"/>
        </w:rPr>
      </w:pPr>
    </w:p>
    <w:p w:rsidR="002F5C5E" w:rsidRPr="00125270" w:rsidP="00125270">
      <w:pPr>
        <w:keepNext/>
        <w:outlineLvl w:val="0"/>
        <w:rPr>
          <w:rFonts w:cs="Arial"/>
          <w:b/>
        </w:rPr>
      </w:pPr>
      <w:r w:rsidRPr="00125270">
        <w:rPr>
          <w:rFonts w:cs="Arial"/>
          <w:b/>
        </w:rPr>
        <w:t>PORTFOLIO RECOMMENDATIONS</w:t>
      </w:r>
      <w:bookmarkStart w:id="0" w:name="_GoBack"/>
      <w:bookmarkEnd w:id="0"/>
    </w:p>
    <w:p w:rsidR="0043050F" w:rsidRPr="004C084F" w:rsidP="004C084F">
      <w:pPr>
        <w:jc w:val="both"/>
        <w:rPr>
          <w:rFonts w:cs="Arial"/>
          <w:szCs w:val="22"/>
        </w:rPr>
      </w:pPr>
    </w:p>
    <w:p w:rsidR="002F5C5E" w:rsidRPr="00125270" w:rsidP="00125270">
      <w:pPr>
        <w:pStyle w:val="ListParagraph"/>
        <w:numPr>
          <w:ilvl w:val="0"/>
          <w:numId w:val="17"/>
        </w:numPr>
        <w:autoSpaceDE w:val="0"/>
        <w:autoSpaceDN w:val="0"/>
        <w:adjustRightInd w:val="0"/>
        <w:jc w:val="both"/>
        <w:rPr>
          <w:rFonts w:ascii="Arial" w:hAnsi="Arial" w:cs="Arial"/>
          <w:szCs w:val="20"/>
        </w:rPr>
      </w:pPr>
      <w:r w:rsidRPr="00992728">
        <w:rPr>
          <w:rFonts w:ascii="Arial" w:hAnsi="Arial" w:cs="Arial"/>
        </w:rPr>
        <w:t>To enter into a legal agreement/contract with Community Gateway Association (CGA)</w:t>
      </w:r>
      <w:r w:rsidRPr="00992728">
        <w:rPr>
          <w:rFonts w:ascii="Arial" w:hAnsi="Arial" w:cs="Arial"/>
        </w:rPr>
        <w:t xml:space="preserve"> for them to manage the property </w:t>
      </w:r>
      <w:r w:rsidRPr="00992728">
        <w:rPr>
          <w:rFonts w:ascii="Arial" w:hAnsi="Arial" w:cs="Arial"/>
        </w:rPr>
        <w:t>at a</w:t>
      </w:r>
      <w:r w:rsidRPr="004C084F">
        <w:rPr>
          <w:rFonts w:ascii="Arial" w:hAnsi="Arial" w:cs="Arial"/>
        </w:rPr>
        <w:t xml:space="preserve"> cost of 9% management fee, 5% allowance for void and bad debts and £500 per property per annum for maintenance and repairs for an initial lease term of 7 years, with an option to extend the lease.</w:t>
      </w:r>
    </w:p>
    <w:p w:rsidR="00BD2AFE" w:rsidRPr="00125270" w:rsidP="00125270">
      <w:pPr>
        <w:rPr>
          <w:rFonts w:cs="Arial"/>
          <w:b/>
          <w:color w:val="000000"/>
        </w:rPr>
      </w:pPr>
      <w:r w:rsidRPr="00125270">
        <w:rPr>
          <w:rFonts w:cs="Arial"/>
          <w:b/>
          <w:color w:val="000000"/>
        </w:rPr>
        <w:t>REASONS FOR THE DECISION</w:t>
      </w:r>
    </w:p>
    <w:p w:rsidR="0043050F" w:rsidRPr="004C084F" w:rsidP="00E44DFD">
      <w:pPr>
        <w:autoSpaceDE w:val="0"/>
        <w:autoSpaceDN w:val="0"/>
        <w:adjustRightInd w:val="0"/>
        <w:rPr>
          <w:rFonts w:cs="Arial"/>
          <w:szCs w:val="22"/>
        </w:rPr>
      </w:pPr>
    </w:p>
    <w:p w:rsidR="00E44DFD" w:rsidRPr="004C084F" w:rsidP="004C084F">
      <w:pPr>
        <w:pStyle w:val="ListParagraph"/>
        <w:widowControl w:val="0"/>
        <w:numPr>
          <w:ilvl w:val="0"/>
          <w:numId w:val="17"/>
        </w:numPr>
        <w:autoSpaceDE w:val="0"/>
        <w:autoSpaceDN w:val="0"/>
        <w:adjustRightInd w:val="0"/>
        <w:jc w:val="both"/>
        <w:rPr>
          <w:rFonts w:ascii="Arial" w:hAnsi="Arial" w:cs="Arial"/>
        </w:rPr>
      </w:pPr>
      <w:r w:rsidRPr="00125270">
        <w:rPr>
          <w:rFonts w:ascii="Arial" w:hAnsi="Arial" w:cs="Arial"/>
        </w:rPr>
        <w:t xml:space="preserve">The previous report </w:t>
      </w:r>
      <w:r w:rsidRPr="00125270">
        <w:rPr>
          <w:rFonts w:ascii="Arial" w:hAnsi="Arial" w:cs="Arial"/>
        </w:rPr>
        <w:t>dated the 17</w:t>
      </w:r>
      <w:r w:rsidRPr="00125270">
        <w:rPr>
          <w:rFonts w:ascii="Arial" w:hAnsi="Arial" w:cs="Arial"/>
          <w:vertAlign w:val="superscript"/>
        </w:rPr>
        <w:t>th</w:t>
      </w:r>
      <w:r w:rsidRPr="00125270">
        <w:rPr>
          <w:rFonts w:ascii="Arial" w:hAnsi="Arial" w:cs="Arial"/>
        </w:rPr>
        <w:t xml:space="preserve"> October 2017 approved the conversion and to enter into an agreement to lease the converted building to Methodist Action. The new recommendation is due to Methodist Action going into liquidation in October 2019.</w:t>
      </w:r>
    </w:p>
    <w:p w:rsidR="0043050F" w:rsidRPr="00125270" w:rsidP="0043050F">
      <w:pPr>
        <w:pStyle w:val="ListParagraph"/>
        <w:widowControl w:val="0"/>
        <w:autoSpaceDE w:val="0"/>
        <w:autoSpaceDN w:val="0"/>
        <w:adjustRightInd w:val="0"/>
        <w:rPr>
          <w:rFonts w:ascii="Arial" w:hAnsi="Arial" w:cs="Arial"/>
        </w:rPr>
      </w:pPr>
    </w:p>
    <w:p w:rsidR="00CC4337" w:rsidRPr="004C084F" w:rsidP="004C084F">
      <w:pPr>
        <w:pStyle w:val="ListParagraph"/>
        <w:widowControl w:val="0"/>
        <w:numPr>
          <w:ilvl w:val="0"/>
          <w:numId w:val="17"/>
        </w:numPr>
        <w:jc w:val="both"/>
        <w:rPr>
          <w:rFonts w:ascii="Arial" w:hAnsi="Arial" w:cs="Arial"/>
          <w:i/>
          <w:color w:val="2E74B5"/>
        </w:rPr>
      </w:pPr>
      <w:r w:rsidRPr="004C084F">
        <w:rPr>
          <w:rFonts w:ascii="Arial" w:hAnsi="Arial" w:cs="Arial"/>
        </w:rPr>
        <w:t xml:space="preserve">Consequently, </w:t>
      </w:r>
      <w:r w:rsidRPr="004C084F">
        <w:rPr>
          <w:rFonts w:ascii="Arial" w:hAnsi="Arial" w:cs="Arial"/>
        </w:rPr>
        <w:t>potential options have been explored in order to ensure the financial and/or social value of the asset is maximised. The preferred option of converting to residential use would enable us to meet key corporate aspirations for housing.</w:t>
      </w:r>
      <w:r w:rsidRPr="004C084F">
        <w:rPr>
          <w:rFonts w:ascii="Arial" w:hAnsi="Arial" w:cs="Arial"/>
          <w:i/>
          <w:color w:val="2E74B5"/>
        </w:rPr>
        <w:tab/>
      </w:r>
    </w:p>
    <w:p w:rsidR="0065176C" w:rsidRPr="004C084F" w:rsidP="0043050F">
      <w:pPr>
        <w:widowControl w:val="0"/>
        <w:outlineLvl w:val="0"/>
        <w:rPr>
          <w:rFonts w:cs="Arial"/>
          <w:b/>
          <w:szCs w:val="22"/>
        </w:rPr>
      </w:pPr>
      <w:r w:rsidRPr="004C084F">
        <w:rPr>
          <w:rFonts w:cs="Arial"/>
          <w:b/>
          <w:szCs w:val="22"/>
        </w:rPr>
        <w:t>EXECUTIVE SUMMARY</w:t>
      </w:r>
    </w:p>
    <w:p w:rsidR="0043050F" w:rsidRPr="004C084F" w:rsidP="0043050F">
      <w:pPr>
        <w:widowControl w:val="0"/>
        <w:outlineLvl w:val="0"/>
        <w:rPr>
          <w:rFonts w:cs="Arial"/>
          <w:b/>
          <w:szCs w:val="22"/>
        </w:rPr>
      </w:pPr>
    </w:p>
    <w:p w:rsidR="008C04DA" w:rsidRPr="004C084F" w:rsidP="004C084F">
      <w:pPr>
        <w:pStyle w:val="ListParagraph"/>
        <w:widowControl w:val="0"/>
        <w:numPr>
          <w:ilvl w:val="0"/>
          <w:numId w:val="17"/>
        </w:numPr>
        <w:autoSpaceDE w:val="0"/>
        <w:autoSpaceDN w:val="0"/>
        <w:adjustRightInd w:val="0"/>
        <w:jc w:val="both"/>
        <w:rPr>
          <w:rFonts w:ascii="Arial" w:hAnsi="Arial" w:cs="Arial"/>
        </w:rPr>
      </w:pPr>
      <w:r w:rsidRPr="004C084F">
        <w:rPr>
          <w:rFonts w:ascii="Arial" w:hAnsi="Arial" w:cs="Arial"/>
        </w:rPr>
        <w:t>Th</w:t>
      </w:r>
      <w:r w:rsidRPr="004C084F">
        <w:rPr>
          <w:rFonts w:ascii="Arial" w:hAnsi="Arial" w:cs="Arial"/>
        </w:rPr>
        <w:t>e Council has key corporate aims to meet housing needs in the Borough and make efficient use of its assets. The property at Station Road is currently vacant and provides an excellent opportunity for conversion to meet housing need. The Council currently re</w:t>
      </w:r>
      <w:r w:rsidRPr="004C084F">
        <w:rPr>
          <w:rFonts w:ascii="Arial" w:hAnsi="Arial" w:cs="Arial"/>
        </w:rPr>
        <w:t xml:space="preserve">tains significant </w:t>
      </w:r>
      <w:r w:rsidRPr="004C084F">
        <w:rPr>
          <w:rFonts w:ascii="Arial" w:hAnsi="Arial" w:cs="Arial"/>
        </w:rPr>
        <w:t>commuted sums to use towards providing affordable housing. This is an excellent opportunity to provide such accommodation which the market is not delivering.</w:t>
      </w:r>
    </w:p>
    <w:p w:rsidR="00E44DFD" w:rsidRPr="004C084F" w:rsidP="00E44DFD">
      <w:pPr>
        <w:keepNext/>
        <w:ind w:left="360"/>
        <w:outlineLvl w:val="0"/>
        <w:rPr>
          <w:rFonts w:cs="Arial"/>
          <w:i/>
          <w:szCs w:val="22"/>
        </w:rPr>
      </w:pPr>
    </w:p>
    <w:p w:rsidR="008C04DA" w:rsidRPr="004C084F" w:rsidP="0043050F">
      <w:pPr>
        <w:keepNext/>
        <w:outlineLvl w:val="0"/>
        <w:rPr>
          <w:rFonts w:cs="Arial"/>
          <w:b/>
          <w:szCs w:val="22"/>
        </w:rPr>
      </w:pPr>
      <w:r w:rsidRPr="004C084F">
        <w:rPr>
          <w:rFonts w:cs="Arial"/>
          <w:b/>
          <w:szCs w:val="22"/>
        </w:rPr>
        <w:t>CORPORATE PRIORITIES</w:t>
      </w:r>
    </w:p>
    <w:p w:rsidR="00911FD5" w:rsidRPr="004C084F" w:rsidP="00911FD5">
      <w:pPr>
        <w:keepNext/>
        <w:ind w:left="567"/>
        <w:outlineLvl w:val="0"/>
        <w:rPr>
          <w:rFonts w:cs="Arial"/>
          <w:b/>
          <w:szCs w:val="22"/>
        </w:rPr>
      </w:pPr>
    </w:p>
    <w:p w:rsidR="008C04DA" w:rsidRPr="004C084F" w:rsidP="00536043">
      <w:pPr>
        <w:pStyle w:val="ListParagraph"/>
        <w:keepNext/>
        <w:ind w:left="1080"/>
        <w:outlineLvl w:val="0"/>
        <w:rPr>
          <w:rFonts w:ascii="Arial" w:hAnsi="Arial" w:cs="Arial"/>
          <w:i/>
          <w:color w:val="2E74B5"/>
        </w:rPr>
      </w:pPr>
      <w:r w:rsidRPr="004C084F">
        <w:rPr>
          <w:rFonts w:ascii="Arial" w:hAnsi="Arial" w:cs="Arial"/>
        </w:rPr>
        <w:t>The report relates to the following corporate priorities:</w:t>
      </w:r>
      <w:r w:rsidRPr="004C084F">
        <w:rPr>
          <w:rFonts w:ascii="Arial" w:hAnsi="Arial" w:cs="Arial"/>
          <w:b/>
        </w:rPr>
        <w:t xml:space="preserve"> </w:t>
      </w: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850"/>
      </w:tblGrid>
      <w:tr w:rsidTr="000E5A3B">
        <w:tblPrEx>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3" w:type="dxa"/>
            <w:shd w:val="clear" w:color="auto" w:fill="auto"/>
          </w:tcPr>
          <w:p w:rsidR="000E5A3B" w:rsidRPr="004C084F" w:rsidP="00A975A7">
            <w:pPr>
              <w:rPr>
                <w:rFonts w:cs="Arial"/>
                <w:szCs w:val="22"/>
              </w:rPr>
            </w:pPr>
            <w:r w:rsidRPr="004C084F">
              <w:rPr>
                <w:rFonts w:cs="Arial"/>
                <w:szCs w:val="22"/>
              </w:rPr>
              <w:t>Excellence and Financial Sustainability</w:t>
            </w:r>
          </w:p>
          <w:p w:rsidR="000E5A3B" w:rsidRPr="004C084F" w:rsidP="00A975A7">
            <w:pPr>
              <w:rPr>
                <w:rFonts w:cs="Arial"/>
                <w:szCs w:val="22"/>
              </w:rPr>
            </w:pPr>
          </w:p>
        </w:tc>
        <w:tc>
          <w:tcPr>
            <w:tcW w:w="850" w:type="dxa"/>
            <w:shd w:val="clear" w:color="auto" w:fill="auto"/>
          </w:tcPr>
          <w:p w:rsidR="000E5A3B" w:rsidRPr="004C084F" w:rsidP="00A975A7">
            <w:pPr>
              <w:rPr>
                <w:rFonts w:cs="Arial"/>
                <w:szCs w:val="22"/>
              </w:rPr>
            </w:pPr>
            <w:r w:rsidRPr="004C084F">
              <w:rPr>
                <w:rFonts w:cs="Arial"/>
                <w:szCs w:val="22"/>
              </w:rPr>
              <w:t>X</w:t>
            </w:r>
          </w:p>
        </w:tc>
      </w:tr>
      <w:tr w:rsidTr="000E5A3B">
        <w:tblPrEx>
          <w:tblW w:w="5273" w:type="dxa"/>
          <w:tblInd w:w="534" w:type="dxa"/>
          <w:tblLook w:val="04A0"/>
        </w:tblPrEx>
        <w:tc>
          <w:tcPr>
            <w:tcW w:w="4423" w:type="dxa"/>
            <w:shd w:val="clear" w:color="auto" w:fill="auto"/>
          </w:tcPr>
          <w:p w:rsidR="000E5A3B" w:rsidRPr="004C084F" w:rsidP="00A975A7">
            <w:pPr>
              <w:rPr>
                <w:rFonts w:cs="Arial"/>
                <w:szCs w:val="22"/>
              </w:rPr>
            </w:pPr>
            <w:r w:rsidRPr="004C084F">
              <w:rPr>
                <w:rFonts w:cs="Arial"/>
                <w:szCs w:val="22"/>
              </w:rPr>
              <w:t>Health and Wellbeing</w:t>
            </w:r>
          </w:p>
          <w:p w:rsidR="000E5A3B" w:rsidRPr="004C084F" w:rsidP="00A975A7">
            <w:pPr>
              <w:rPr>
                <w:rFonts w:cs="Arial"/>
                <w:szCs w:val="22"/>
              </w:rPr>
            </w:pPr>
          </w:p>
        </w:tc>
        <w:tc>
          <w:tcPr>
            <w:tcW w:w="850" w:type="dxa"/>
            <w:shd w:val="clear" w:color="auto" w:fill="auto"/>
          </w:tcPr>
          <w:p w:rsidR="000E5A3B" w:rsidRPr="004C084F" w:rsidP="00A975A7">
            <w:pPr>
              <w:rPr>
                <w:rFonts w:cs="Arial"/>
                <w:szCs w:val="22"/>
                <w:highlight w:val="yellow"/>
              </w:rPr>
            </w:pPr>
          </w:p>
        </w:tc>
      </w:tr>
      <w:tr w:rsidTr="000E5A3B">
        <w:tblPrEx>
          <w:tblW w:w="5273" w:type="dxa"/>
          <w:tblInd w:w="534" w:type="dxa"/>
          <w:tblLook w:val="04A0"/>
        </w:tblPrEx>
        <w:tc>
          <w:tcPr>
            <w:tcW w:w="4423" w:type="dxa"/>
            <w:shd w:val="clear" w:color="auto" w:fill="auto"/>
          </w:tcPr>
          <w:p w:rsidR="000E5A3B" w:rsidRPr="004C084F" w:rsidP="00A975A7">
            <w:pPr>
              <w:rPr>
                <w:rFonts w:cs="Arial"/>
                <w:szCs w:val="22"/>
              </w:rPr>
            </w:pPr>
            <w:r w:rsidRPr="004C084F">
              <w:rPr>
                <w:rFonts w:cs="Arial"/>
                <w:szCs w:val="22"/>
              </w:rPr>
              <w:t>Place</w:t>
            </w:r>
          </w:p>
          <w:p w:rsidR="000E5A3B" w:rsidRPr="004C084F" w:rsidP="00A975A7">
            <w:pPr>
              <w:rPr>
                <w:rFonts w:cs="Arial"/>
                <w:szCs w:val="22"/>
              </w:rPr>
            </w:pPr>
          </w:p>
        </w:tc>
        <w:tc>
          <w:tcPr>
            <w:tcW w:w="850" w:type="dxa"/>
            <w:shd w:val="clear" w:color="auto" w:fill="auto"/>
          </w:tcPr>
          <w:p w:rsidR="000E5A3B" w:rsidRPr="004C084F" w:rsidP="00A975A7">
            <w:pPr>
              <w:rPr>
                <w:rFonts w:cs="Arial"/>
                <w:szCs w:val="22"/>
              </w:rPr>
            </w:pPr>
            <w:r w:rsidRPr="004C084F">
              <w:rPr>
                <w:rFonts w:cs="Arial"/>
                <w:szCs w:val="22"/>
              </w:rPr>
              <w:t>X</w:t>
            </w:r>
          </w:p>
        </w:tc>
      </w:tr>
    </w:tbl>
    <w:p w:rsidR="002D4745" w:rsidRPr="004C084F">
      <w:pPr>
        <w:rPr>
          <w:rFonts w:cs="Arial"/>
          <w:szCs w:val="22"/>
        </w:rPr>
      </w:pPr>
    </w:p>
    <w:p w:rsidR="002D4745" w:rsidRPr="004C084F" w:rsidP="002D4745">
      <w:pPr>
        <w:ind w:firstLine="720"/>
        <w:rPr>
          <w:rFonts w:cs="Arial"/>
          <w:szCs w:val="22"/>
        </w:rPr>
      </w:pPr>
      <w:r w:rsidRPr="004C084F">
        <w:rPr>
          <w:rFonts w:cs="Arial"/>
          <w:szCs w:val="22"/>
        </w:rPr>
        <w:t>Projects relating to People in the Corporate Plan:</w:t>
      </w:r>
    </w:p>
    <w:p w:rsidR="002D4745" w:rsidRPr="004C084F" w:rsidP="002D4745">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850"/>
      </w:tblGrid>
      <w:tr w:rsidTr="000E5A3B">
        <w:tblPrEx>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3" w:type="dxa"/>
            <w:shd w:val="clear" w:color="auto" w:fill="auto"/>
          </w:tcPr>
          <w:p w:rsidR="002D4745" w:rsidRPr="004C084F" w:rsidP="00A975A7">
            <w:pPr>
              <w:rPr>
                <w:rFonts w:cs="Arial"/>
                <w:szCs w:val="22"/>
              </w:rPr>
            </w:pPr>
            <w:r w:rsidRPr="004C084F">
              <w:rPr>
                <w:rFonts w:cs="Arial"/>
                <w:szCs w:val="22"/>
              </w:rPr>
              <w:t xml:space="preserve">People </w:t>
            </w:r>
          </w:p>
          <w:p w:rsidR="002D4745" w:rsidRPr="004C084F" w:rsidP="00A975A7">
            <w:pPr>
              <w:rPr>
                <w:rFonts w:cs="Arial"/>
                <w:szCs w:val="22"/>
              </w:rPr>
            </w:pPr>
          </w:p>
        </w:tc>
        <w:tc>
          <w:tcPr>
            <w:tcW w:w="850" w:type="dxa"/>
            <w:shd w:val="clear" w:color="auto" w:fill="auto"/>
          </w:tcPr>
          <w:p w:rsidR="002D4745" w:rsidRPr="004C084F" w:rsidP="00A975A7">
            <w:pPr>
              <w:rPr>
                <w:rFonts w:cs="Arial"/>
                <w:szCs w:val="22"/>
              </w:rPr>
            </w:pPr>
          </w:p>
        </w:tc>
      </w:tr>
    </w:tbl>
    <w:p w:rsidR="008C04DA" w:rsidRPr="004C084F" w:rsidP="008C04DA">
      <w:pPr>
        <w:keepNext/>
        <w:ind w:left="360"/>
        <w:outlineLvl w:val="0"/>
        <w:rPr>
          <w:rFonts w:cs="Arial"/>
          <w:szCs w:val="22"/>
        </w:rPr>
      </w:pPr>
    </w:p>
    <w:p w:rsidR="0065176C" w:rsidRPr="004C084F" w:rsidP="0043050F">
      <w:pPr>
        <w:keepNext/>
        <w:outlineLvl w:val="0"/>
        <w:rPr>
          <w:rFonts w:cs="Arial"/>
          <w:b/>
          <w:szCs w:val="22"/>
        </w:rPr>
      </w:pPr>
      <w:r w:rsidRPr="004C084F">
        <w:rPr>
          <w:rFonts w:cs="Arial"/>
          <w:b/>
          <w:szCs w:val="22"/>
        </w:rPr>
        <w:t>BACKGROUND TO THE REPORT</w:t>
      </w:r>
    </w:p>
    <w:p w:rsidR="00EF3B6C" w:rsidRPr="004C084F" w:rsidP="00EF3B6C">
      <w:pPr>
        <w:keepNext/>
        <w:ind w:left="567"/>
        <w:outlineLvl w:val="0"/>
        <w:rPr>
          <w:rFonts w:cs="Arial"/>
          <w:b/>
          <w:szCs w:val="22"/>
        </w:rPr>
      </w:pPr>
    </w:p>
    <w:p w:rsidR="008C04DA" w:rsidRPr="004C084F" w:rsidP="004C084F">
      <w:pPr>
        <w:pStyle w:val="ListParagraph"/>
        <w:keepNext/>
        <w:numPr>
          <w:ilvl w:val="0"/>
          <w:numId w:val="17"/>
        </w:numPr>
        <w:autoSpaceDE w:val="0"/>
        <w:autoSpaceDN w:val="0"/>
        <w:adjustRightInd w:val="0"/>
        <w:jc w:val="both"/>
        <w:outlineLvl w:val="0"/>
        <w:rPr>
          <w:rFonts w:ascii="Arial" w:hAnsi="Arial" w:cs="Arial"/>
        </w:rPr>
      </w:pPr>
      <w:r w:rsidRPr="004C084F">
        <w:rPr>
          <w:rFonts w:ascii="Arial" w:hAnsi="Arial" w:cs="Arial"/>
        </w:rPr>
        <w:t xml:space="preserve">The Council’s Corporate Plan identifies the implementation of the Housing </w:t>
      </w:r>
      <w:r w:rsidRPr="004C084F">
        <w:rPr>
          <w:rFonts w:ascii="Arial" w:hAnsi="Arial" w:cs="Arial"/>
        </w:rPr>
        <w:t>Framework as a key priority. The revised Housing Framework was adopted in January 2018. Key aspirations are ensuring that housing meets the needs of the South Ribble and that the council develop its own homes. A Housing Investment Strategy is currently bei</w:t>
      </w:r>
      <w:r w:rsidRPr="004C084F">
        <w:rPr>
          <w:rFonts w:ascii="Arial" w:hAnsi="Arial" w:cs="Arial"/>
        </w:rPr>
        <w:t>ng developed however the opportunity at Station Road is a current asset problem that can provide an immediate response to meeting housing needs in the Borough. Within the area of Bamber Bridge there are currently 153 active applications on select move. The</w:t>
      </w:r>
      <w:r w:rsidRPr="004C084F">
        <w:rPr>
          <w:rFonts w:ascii="Arial" w:hAnsi="Arial" w:cs="Arial"/>
        </w:rPr>
        <w:t>re is therefore a clear housing need in this locality.</w:t>
      </w:r>
    </w:p>
    <w:p w:rsidR="0043050F" w:rsidRPr="004C084F" w:rsidP="004C084F">
      <w:pPr>
        <w:pStyle w:val="ListParagraph"/>
        <w:keepNext/>
        <w:autoSpaceDE w:val="0"/>
        <w:autoSpaceDN w:val="0"/>
        <w:adjustRightInd w:val="0"/>
        <w:jc w:val="both"/>
        <w:outlineLvl w:val="0"/>
        <w:rPr>
          <w:rFonts w:ascii="Arial" w:hAnsi="Arial" w:cs="Arial"/>
        </w:rPr>
      </w:pPr>
    </w:p>
    <w:p w:rsidR="00C83982" w:rsidRPr="004C084F" w:rsidP="004C084F">
      <w:pPr>
        <w:pStyle w:val="ListParagraph"/>
        <w:widowControl w:val="0"/>
        <w:numPr>
          <w:ilvl w:val="0"/>
          <w:numId w:val="17"/>
        </w:numPr>
        <w:autoSpaceDE w:val="0"/>
        <w:autoSpaceDN w:val="0"/>
        <w:adjustRightInd w:val="0"/>
        <w:contextualSpacing w:val="0"/>
        <w:jc w:val="both"/>
        <w:outlineLvl w:val="0"/>
        <w:rPr>
          <w:rFonts w:ascii="Arial" w:hAnsi="Arial" w:cs="Arial"/>
        </w:rPr>
      </w:pPr>
      <w:r w:rsidRPr="004C084F">
        <w:rPr>
          <w:rFonts w:ascii="Arial" w:hAnsi="Arial" w:cs="Arial"/>
        </w:rPr>
        <w:t>The Council receives commuted sum payments where it has been agreed that a developer will provide financial contribution in lieu of providing affordable housing on site. Any commuted sum monies receiv</w:t>
      </w:r>
      <w:r w:rsidRPr="004C084F">
        <w:rPr>
          <w:rFonts w:ascii="Arial" w:hAnsi="Arial" w:cs="Arial"/>
        </w:rPr>
        <w:t>ed are to be reinvested in affordable housing provision within the borough in accordance with the section 106 agreement.</w:t>
      </w:r>
    </w:p>
    <w:p w:rsidR="00C83982" w:rsidRPr="004C084F" w:rsidP="004C084F">
      <w:pPr>
        <w:pStyle w:val="ListParagraph"/>
        <w:keepLines/>
        <w:widowControl w:val="0"/>
        <w:numPr>
          <w:ilvl w:val="0"/>
          <w:numId w:val="17"/>
        </w:numPr>
        <w:autoSpaceDE w:val="0"/>
        <w:autoSpaceDN w:val="0"/>
        <w:adjustRightInd w:val="0"/>
        <w:contextualSpacing w:val="0"/>
        <w:jc w:val="both"/>
        <w:outlineLvl w:val="0"/>
        <w:rPr>
          <w:rFonts w:ascii="Arial" w:hAnsi="Arial" w:cs="Arial"/>
        </w:rPr>
      </w:pPr>
      <w:r w:rsidRPr="004C084F">
        <w:rPr>
          <w:rFonts w:ascii="Arial" w:hAnsi="Arial" w:cs="Arial"/>
        </w:rPr>
        <w:t>Commuted sum monies were allocated to the provision of Affordable Housing in the Capital Programme as part of the 2016/17 budget-settin</w:t>
      </w:r>
      <w:r w:rsidRPr="004C084F">
        <w:rPr>
          <w:rFonts w:ascii="Arial" w:hAnsi="Arial" w:cs="Arial"/>
        </w:rPr>
        <w:t>g process. There is currently a total of £4.478m available in commuted sums due to additional monies being received during 2016/17 and 2017/18. Any such monies received by the Council are restrictive in that the payee can request for them to be repaid afte</w:t>
      </w:r>
      <w:r w:rsidRPr="004C084F">
        <w:rPr>
          <w:rFonts w:ascii="Arial" w:hAnsi="Arial" w:cs="Arial"/>
        </w:rPr>
        <w:t>r a certain period of time as agreed within the section 106 agreement if they are not spent.</w:t>
      </w:r>
    </w:p>
    <w:p w:rsidR="00C83982" w:rsidRPr="004C084F" w:rsidP="004C084F">
      <w:pPr>
        <w:pStyle w:val="ListParagraph"/>
        <w:widowControl w:val="0"/>
        <w:numPr>
          <w:ilvl w:val="0"/>
          <w:numId w:val="17"/>
        </w:numPr>
        <w:autoSpaceDE w:val="0"/>
        <w:autoSpaceDN w:val="0"/>
        <w:adjustRightInd w:val="0"/>
        <w:jc w:val="both"/>
        <w:rPr>
          <w:rFonts w:ascii="Arial" w:hAnsi="Arial" w:cs="Arial"/>
        </w:rPr>
      </w:pPr>
      <w:r w:rsidRPr="004C084F">
        <w:rPr>
          <w:rFonts w:ascii="Arial" w:hAnsi="Arial" w:cs="Arial"/>
        </w:rPr>
        <w:t>As the Station Road property was rendered unusable due to flooding, an opportunity arose to review the potential future options for the asset. In light of identifi</w:t>
      </w:r>
      <w:r w:rsidRPr="004C084F">
        <w:rPr>
          <w:rFonts w:ascii="Arial" w:hAnsi="Arial" w:cs="Arial"/>
        </w:rPr>
        <w:t>ed housing need, and the commuted sums available as above, it was considered beneficial to explore the merits of converting the property to provide affordable 1 &amp; 2 bedroom flats, potentially including commercial space on the ground floor to be used as off</w:t>
      </w:r>
      <w:r w:rsidRPr="004C084F">
        <w:rPr>
          <w:rFonts w:ascii="Arial" w:hAnsi="Arial" w:cs="Arial"/>
        </w:rPr>
        <w:t xml:space="preserve">ice space. </w:t>
      </w:r>
    </w:p>
    <w:p w:rsidR="00C83982" w:rsidRPr="004C084F" w:rsidP="00C83982">
      <w:pPr>
        <w:keepNext/>
        <w:ind w:left="360"/>
        <w:outlineLvl w:val="0"/>
        <w:rPr>
          <w:rFonts w:cs="Arial"/>
          <w:szCs w:val="22"/>
        </w:rPr>
      </w:pPr>
    </w:p>
    <w:p w:rsidR="008C04DA" w:rsidRPr="004C084F" w:rsidP="00D61B25">
      <w:pPr>
        <w:keepNext/>
        <w:outlineLvl w:val="0"/>
        <w:rPr>
          <w:rFonts w:cs="Arial"/>
          <w:b/>
          <w:szCs w:val="22"/>
        </w:rPr>
      </w:pPr>
      <w:r w:rsidRPr="004C084F">
        <w:rPr>
          <w:rFonts w:cs="Arial"/>
          <w:b/>
          <w:szCs w:val="22"/>
        </w:rPr>
        <w:t>PROPOSALS (e.g. RATIONALE, DETAIL, FINANCIAL, PROCUREMENT)</w:t>
      </w:r>
    </w:p>
    <w:p w:rsidR="00C938CA" w:rsidRPr="004C084F" w:rsidP="00C938CA">
      <w:pPr>
        <w:keepNext/>
        <w:ind w:left="360"/>
        <w:outlineLvl w:val="0"/>
        <w:rPr>
          <w:rFonts w:cs="Arial"/>
          <w:b/>
          <w:szCs w:val="22"/>
        </w:rPr>
      </w:pPr>
    </w:p>
    <w:p w:rsidR="00EF3B6C" w:rsidRPr="004C084F" w:rsidP="004C084F">
      <w:pPr>
        <w:pStyle w:val="ListParagraph"/>
        <w:numPr>
          <w:ilvl w:val="0"/>
          <w:numId w:val="17"/>
        </w:numPr>
        <w:autoSpaceDE w:val="0"/>
        <w:autoSpaceDN w:val="0"/>
        <w:adjustRightInd w:val="0"/>
        <w:jc w:val="both"/>
        <w:rPr>
          <w:rFonts w:ascii="Arial" w:hAnsi="Arial" w:cs="Arial"/>
        </w:rPr>
      </w:pPr>
      <w:r w:rsidRPr="004C084F">
        <w:rPr>
          <w:rFonts w:ascii="Arial" w:hAnsi="Arial" w:cs="Arial"/>
        </w:rPr>
        <w:t xml:space="preserve">Officers have reviewed options for making best use of the asset at Station Road to contribute towards meeting housing needs. To that end informal discussions have been held with </w:t>
      </w:r>
      <w:r w:rsidRPr="004C084F">
        <w:rPr>
          <w:rFonts w:ascii="Arial" w:hAnsi="Arial" w:cs="Arial"/>
        </w:rPr>
        <w:t>three Registered Providers to gauge their level of interest in renting the property from us following conversion works. Two of the providers have provided detailed costings, a third showed interest but provided no costings.</w:t>
      </w:r>
    </w:p>
    <w:p w:rsidR="00206069" w:rsidRPr="004C084F" w:rsidP="004C084F">
      <w:pPr>
        <w:pStyle w:val="ListParagraph"/>
        <w:autoSpaceDE w:val="0"/>
        <w:autoSpaceDN w:val="0"/>
        <w:adjustRightInd w:val="0"/>
        <w:jc w:val="both"/>
        <w:rPr>
          <w:rFonts w:ascii="Arial" w:hAnsi="Arial" w:cs="Arial"/>
        </w:rPr>
      </w:pPr>
    </w:p>
    <w:p w:rsidR="00BA5224" w:rsidP="00BA5224">
      <w:pPr>
        <w:pStyle w:val="ListParagraph"/>
        <w:numPr>
          <w:ilvl w:val="0"/>
          <w:numId w:val="17"/>
        </w:numPr>
        <w:autoSpaceDE w:val="0"/>
        <w:autoSpaceDN w:val="0"/>
        <w:adjustRightInd w:val="0"/>
        <w:jc w:val="both"/>
        <w:rPr>
          <w:rFonts w:ascii="Arial" w:hAnsi="Arial" w:cs="Arial"/>
        </w:rPr>
      </w:pPr>
      <w:r w:rsidRPr="004C084F">
        <w:rPr>
          <w:rFonts w:ascii="Arial" w:hAnsi="Arial" w:cs="Arial"/>
        </w:rPr>
        <w:t>It is recommended the council e</w:t>
      </w:r>
      <w:r w:rsidRPr="004C084F">
        <w:rPr>
          <w:rFonts w:ascii="Arial" w:hAnsi="Arial" w:cs="Arial"/>
        </w:rPr>
        <w:t>nters into a maintain and lease agreement with Community Gateway Association on completion of the conversion work for a period of 7 years with an option to extend.</w:t>
      </w:r>
    </w:p>
    <w:p w:rsidR="00BA5224" w:rsidRPr="00BA5224" w:rsidP="00BA5224">
      <w:pPr>
        <w:pStyle w:val="ListParagraph"/>
        <w:autoSpaceDE w:val="0"/>
        <w:autoSpaceDN w:val="0"/>
        <w:adjustRightInd w:val="0"/>
        <w:jc w:val="both"/>
        <w:rPr>
          <w:rFonts w:ascii="Arial" w:hAnsi="Arial" w:cs="Arial"/>
        </w:rPr>
      </w:pPr>
    </w:p>
    <w:p w:rsidR="00C938CA" w:rsidRPr="004C084F" w:rsidP="004C084F">
      <w:pPr>
        <w:pStyle w:val="ListParagraph"/>
        <w:numPr>
          <w:ilvl w:val="0"/>
          <w:numId w:val="17"/>
        </w:numPr>
        <w:autoSpaceDE w:val="0"/>
        <w:autoSpaceDN w:val="0"/>
        <w:adjustRightInd w:val="0"/>
        <w:jc w:val="both"/>
        <w:rPr>
          <w:rFonts w:ascii="Arial" w:hAnsi="Arial" w:cs="Arial"/>
        </w:rPr>
      </w:pPr>
      <w:r w:rsidRPr="004C084F">
        <w:rPr>
          <w:rFonts w:ascii="Arial" w:hAnsi="Arial" w:cs="Arial"/>
        </w:rPr>
        <w:t>At the end of the lease term, the properties would be returned to the council vacant and in</w:t>
      </w:r>
      <w:r w:rsidRPr="004C084F">
        <w:rPr>
          <w:rFonts w:ascii="Arial" w:hAnsi="Arial" w:cs="Arial"/>
        </w:rPr>
        <w:t xml:space="preserve"> the original condition minus wear and tear.</w:t>
      </w:r>
    </w:p>
    <w:p w:rsidR="001A24F9" w:rsidRPr="004C084F" w:rsidP="002C71DE">
      <w:pPr>
        <w:rPr>
          <w:rFonts w:cs="Arial"/>
          <w:b/>
          <w:szCs w:val="22"/>
        </w:rPr>
      </w:pPr>
      <w:r w:rsidRPr="004C084F">
        <w:rPr>
          <w:rFonts w:cs="Arial"/>
          <w:b/>
          <w:szCs w:val="22"/>
        </w:rPr>
        <w:t>ALTERNATIVE OPTIONS CONSIDERED AND REJECTED</w:t>
      </w:r>
    </w:p>
    <w:p w:rsidR="00C938CA" w:rsidRPr="004C084F" w:rsidP="002C71DE">
      <w:pPr>
        <w:rPr>
          <w:rFonts w:cs="Arial"/>
          <w:b/>
          <w:szCs w:val="22"/>
        </w:rPr>
      </w:pPr>
    </w:p>
    <w:p w:rsidR="00C938CA" w:rsidRPr="004C084F" w:rsidP="00BA5224">
      <w:pPr>
        <w:pStyle w:val="ListParagraph"/>
        <w:numPr>
          <w:ilvl w:val="0"/>
          <w:numId w:val="17"/>
        </w:numPr>
        <w:autoSpaceDE w:val="0"/>
        <w:autoSpaceDN w:val="0"/>
        <w:adjustRightInd w:val="0"/>
        <w:jc w:val="both"/>
        <w:rPr>
          <w:rFonts w:ascii="Arial" w:hAnsi="Arial" w:cs="Arial"/>
        </w:rPr>
      </w:pPr>
      <w:r w:rsidRPr="004C084F">
        <w:rPr>
          <w:rFonts w:ascii="Arial" w:hAnsi="Arial" w:cs="Arial"/>
        </w:rPr>
        <w:t xml:space="preserve">Dispose of the building at auction or open market - This option would realise a capital receipt and eliminate on-going revenue liabilities associated with management </w:t>
      </w:r>
      <w:r w:rsidRPr="004C084F">
        <w:rPr>
          <w:rFonts w:ascii="Arial" w:hAnsi="Arial" w:cs="Arial"/>
        </w:rPr>
        <w:t>and maintenance of an asset which is not considered fit for purpose and does not represent an acceptable return as an investment property. It would however not support delivery of affordable housing nor utilise the commuted sums fund.</w:t>
      </w:r>
    </w:p>
    <w:p w:rsidR="00D61B25" w:rsidRPr="004C084F" w:rsidP="00BA5224">
      <w:pPr>
        <w:pStyle w:val="ListParagraph"/>
        <w:autoSpaceDE w:val="0"/>
        <w:autoSpaceDN w:val="0"/>
        <w:adjustRightInd w:val="0"/>
        <w:jc w:val="both"/>
        <w:rPr>
          <w:rFonts w:ascii="Arial" w:hAnsi="Arial" w:cs="Arial"/>
        </w:rPr>
      </w:pPr>
    </w:p>
    <w:p w:rsidR="00C938CA" w:rsidRPr="004C084F" w:rsidP="00BA5224">
      <w:pPr>
        <w:pStyle w:val="ListParagraph"/>
        <w:numPr>
          <w:ilvl w:val="0"/>
          <w:numId w:val="17"/>
        </w:numPr>
        <w:autoSpaceDE w:val="0"/>
        <w:autoSpaceDN w:val="0"/>
        <w:adjustRightInd w:val="0"/>
        <w:jc w:val="both"/>
        <w:rPr>
          <w:rFonts w:ascii="Arial" w:hAnsi="Arial" w:cs="Arial"/>
          <w:b/>
        </w:rPr>
      </w:pPr>
      <w:r w:rsidRPr="004C084F">
        <w:rPr>
          <w:rFonts w:ascii="Arial" w:hAnsi="Arial" w:cs="Arial"/>
        </w:rPr>
        <w:t>Refurbish the existi</w:t>
      </w:r>
      <w:r w:rsidRPr="004C084F">
        <w:rPr>
          <w:rFonts w:ascii="Arial" w:hAnsi="Arial" w:cs="Arial"/>
        </w:rPr>
        <w:t>ng building and continue to market it as a commercial letting. This option is not recommended as the costs of refurbishment are considered to outweigh the income it would generate.</w:t>
      </w:r>
    </w:p>
    <w:p w:rsidR="001A24F9" w:rsidRPr="004C084F" w:rsidP="002C71DE">
      <w:pPr>
        <w:rPr>
          <w:rFonts w:cs="Arial"/>
          <w:b/>
          <w:caps/>
          <w:szCs w:val="22"/>
        </w:rPr>
      </w:pPr>
      <w:r w:rsidRPr="004C084F">
        <w:rPr>
          <w:rFonts w:cs="Arial"/>
          <w:b/>
          <w:caps/>
          <w:szCs w:val="22"/>
        </w:rPr>
        <w:t>Financial implications</w:t>
      </w:r>
    </w:p>
    <w:p w:rsidR="007A0801" w:rsidRPr="004C084F" w:rsidP="007A0801">
      <w:pPr>
        <w:ind w:left="567"/>
        <w:rPr>
          <w:rFonts w:cs="Arial"/>
          <w:b/>
          <w:caps/>
          <w:szCs w:val="22"/>
        </w:rPr>
      </w:pPr>
    </w:p>
    <w:p w:rsidR="001C1769" w:rsidRPr="004C084F" w:rsidP="00BA5224">
      <w:pPr>
        <w:pStyle w:val="ListParagraph"/>
        <w:numPr>
          <w:ilvl w:val="0"/>
          <w:numId w:val="17"/>
        </w:numPr>
        <w:jc w:val="both"/>
        <w:rPr>
          <w:rFonts w:ascii="Arial" w:hAnsi="Arial" w:cs="Arial"/>
          <w:iCs/>
        </w:rPr>
      </w:pPr>
      <w:r w:rsidRPr="004C084F">
        <w:rPr>
          <w:rFonts w:ascii="Arial" w:hAnsi="Arial" w:cs="Arial"/>
          <w:iCs/>
        </w:rPr>
        <w:t>Based on the new flat combination of 7 x 1 bed flat</w:t>
      </w:r>
      <w:r w:rsidRPr="004C084F">
        <w:rPr>
          <w:rFonts w:ascii="Arial" w:hAnsi="Arial" w:cs="Arial"/>
          <w:iCs/>
        </w:rPr>
        <w:t>s and 2 x 2 bed flats, the agreement with CGA would be based on a full repair and lease basis which will provide a guaranteed rental income for the term regardless of the property being occupied or void. The property would be returned to its original condi</w:t>
      </w:r>
      <w:r w:rsidRPr="004C084F">
        <w:rPr>
          <w:rFonts w:ascii="Arial" w:hAnsi="Arial" w:cs="Arial"/>
          <w:iCs/>
        </w:rPr>
        <w:t>tion on termination of the lease.</w:t>
      </w:r>
    </w:p>
    <w:p w:rsidR="00D61B25" w:rsidRPr="004C084F" w:rsidP="00D61B25">
      <w:pPr>
        <w:pStyle w:val="ListParagraph"/>
        <w:rPr>
          <w:rFonts w:ascii="Arial" w:hAnsi="Arial" w:cs="Arial"/>
          <w:iCs/>
        </w:rPr>
      </w:pPr>
    </w:p>
    <w:p w:rsidR="001C1769" w:rsidRPr="004C084F" w:rsidP="00D61B25">
      <w:pPr>
        <w:pStyle w:val="ListParagraph"/>
        <w:numPr>
          <w:ilvl w:val="0"/>
          <w:numId w:val="17"/>
        </w:numPr>
        <w:rPr>
          <w:rFonts w:ascii="Arial" w:hAnsi="Arial" w:cs="Arial"/>
          <w:iCs/>
        </w:rPr>
      </w:pPr>
      <w:r w:rsidRPr="004C084F">
        <w:rPr>
          <w:rFonts w:ascii="Arial" w:hAnsi="Arial" w:cs="Arial"/>
          <w:iCs/>
        </w:rPr>
        <w:t>Rental Income</w:t>
      </w:r>
    </w:p>
    <w:p w:rsidR="001C1769" w:rsidRPr="004C084F" w:rsidP="00BA5224">
      <w:pPr>
        <w:ind w:firstLine="720"/>
        <w:rPr>
          <w:rFonts w:cs="Arial"/>
          <w:iCs/>
          <w:szCs w:val="22"/>
        </w:rPr>
      </w:pPr>
      <w:r w:rsidRPr="004C084F">
        <w:rPr>
          <w:rFonts w:cs="Arial"/>
          <w:iCs/>
          <w:szCs w:val="22"/>
        </w:rPr>
        <w:t>Annual Income - £33,282.00</w:t>
      </w:r>
    </w:p>
    <w:p w:rsidR="001C1769" w:rsidRPr="004C084F" w:rsidP="00BA5224">
      <w:pPr>
        <w:ind w:left="720"/>
        <w:rPr>
          <w:rFonts w:cs="Arial"/>
          <w:iCs/>
          <w:szCs w:val="22"/>
        </w:rPr>
      </w:pPr>
      <w:r w:rsidRPr="004C084F">
        <w:rPr>
          <w:rFonts w:cs="Arial"/>
          <w:iCs/>
          <w:szCs w:val="22"/>
        </w:rPr>
        <w:t>7 Year Income - £232,974.00</w:t>
      </w:r>
    </w:p>
    <w:p w:rsidR="00C938CA" w:rsidRPr="004C084F" w:rsidP="001A24F9">
      <w:pPr>
        <w:rPr>
          <w:rFonts w:cs="Arial"/>
          <w:b/>
          <w:color w:val="2E74B5" w:themeColor="accent1" w:themeShade="BF"/>
          <w:szCs w:val="22"/>
        </w:rPr>
      </w:pPr>
    </w:p>
    <w:p w:rsidR="007A0801" w:rsidRPr="004C084F" w:rsidP="002C71DE">
      <w:pPr>
        <w:rPr>
          <w:rFonts w:cs="Arial"/>
          <w:b/>
          <w:caps/>
          <w:szCs w:val="22"/>
        </w:rPr>
      </w:pPr>
      <w:r w:rsidRPr="004C084F">
        <w:rPr>
          <w:rFonts w:cs="Arial"/>
          <w:b/>
          <w:caps/>
          <w:szCs w:val="22"/>
        </w:rPr>
        <w:t>LEGAL IMPLICATIONS</w:t>
      </w:r>
    </w:p>
    <w:p w:rsidR="00854946" w:rsidRPr="004C084F" w:rsidP="002C71DE">
      <w:pPr>
        <w:rPr>
          <w:rFonts w:cs="Arial"/>
          <w:b/>
          <w:caps/>
          <w:szCs w:val="22"/>
        </w:rPr>
      </w:pPr>
    </w:p>
    <w:p w:rsidR="007A0801" w:rsidRPr="004C084F" w:rsidP="00BA5224">
      <w:pPr>
        <w:pStyle w:val="ListParagraph"/>
        <w:numPr>
          <w:ilvl w:val="0"/>
          <w:numId w:val="17"/>
        </w:numPr>
        <w:autoSpaceDE w:val="0"/>
        <w:autoSpaceDN w:val="0"/>
        <w:adjustRightInd w:val="0"/>
        <w:jc w:val="both"/>
        <w:rPr>
          <w:rFonts w:ascii="Arial" w:hAnsi="Arial" w:cs="Arial"/>
          <w:b/>
          <w:caps/>
        </w:rPr>
      </w:pPr>
      <w:r w:rsidRPr="004C084F">
        <w:rPr>
          <w:rFonts w:ascii="Arial" w:hAnsi="Arial" w:cs="Arial"/>
        </w:rPr>
        <w:t xml:space="preserve">Any contractual documentation to be entered into will be thoroughly checked by Legal Services. Due diligence will be carried </w:t>
      </w:r>
      <w:r w:rsidRPr="004C084F">
        <w:rPr>
          <w:rFonts w:ascii="Arial" w:hAnsi="Arial" w:cs="Arial"/>
        </w:rPr>
        <w:t>out. We will ensure that the council’s best interests are protected.</w:t>
      </w:r>
    </w:p>
    <w:p w:rsidR="002C71DE" w:rsidP="002C71DE">
      <w:pPr>
        <w:rPr>
          <w:rFonts w:cs="Arial"/>
          <w:b/>
          <w:caps/>
          <w:szCs w:val="22"/>
        </w:rPr>
      </w:pPr>
      <w:r w:rsidRPr="004C084F">
        <w:rPr>
          <w:rFonts w:cs="Arial"/>
          <w:b/>
          <w:caps/>
          <w:szCs w:val="22"/>
        </w:rPr>
        <w:t>AIR QUALITY IMPLICATIONS</w:t>
      </w:r>
    </w:p>
    <w:p w:rsidR="003B0282" w:rsidRPr="004C084F" w:rsidP="002C71DE">
      <w:pPr>
        <w:rPr>
          <w:rFonts w:cs="Arial"/>
          <w:b/>
          <w:caps/>
          <w:szCs w:val="22"/>
        </w:rPr>
      </w:pPr>
    </w:p>
    <w:p w:rsidR="002C71DE" w:rsidRPr="003B0282" w:rsidP="003B0282">
      <w:pPr>
        <w:pStyle w:val="ListParagraph"/>
        <w:numPr>
          <w:ilvl w:val="0"/>
          <w:numId w:val="17"/>
        </w:numPr>
        <w:rPr>
          <w:rFonts w:ascii="Arial" w:hAnsi="Arial" w:cs="Arial"/>
          <w:b/>
          <w:caps/>
        </w:rPr>
      </w:pPr>
      <w:r w:rsidRPr="003B0282">
        <w:rPr>
          <w:rFonts w:ascii="Arial" w:hAnsi="Arial" w:cs="Arial"/>
        </w:rPr>
        <w:t>The development is to ensure it is completed to meet all insulation requirements and meet building regulation with affordable heating to be installed</w:t>
      </w:r>
      <w:r>
        <w:rPr>
          <w:rFonts w:ascii="Arial" w:hAnsi="Arial" w:cs="Arial"/>
        </w:rPr>
        <w:t>.</w:t>
      </w:r>
    </w:p>
    <w:p w:rsidR="007A0801" w:rsidRPr="004C084F" w:rsidP="007A0801">
      <w:pPr>
        <w:rPr>
          <w:rFonts w:cs="Arial"/>
          <w:caps/>
          <w:szCs w:val="22"/>
        </w:rPr>
      </w:pPr>
    </w:p>
    <w:p w:rsidR="001A24F9" w:rsidRPr="004C084F" w:rsidP="002C71DE">
      <w:pPr>
        <w:rPr>
          <w:rFonts w:cs="Arial"/>
          <w:b/>
          <w:caps/>
          <w:szCs w:val="22"/>
        </w:rPr>
      </w:pPr>
      <w:r w:rsidRPr="004C084F">
        <w:rPr>
          <w:rFonts w:cs="Arial"/>
          <w:b/>
          <w:caps/>
          <w:szCs w:val="22"/>
        </w:rPr>
        <w:t>Human Resources and Organisational Development implications</w:t>
      </w:r>
    </w:p>
    <w:p w:rsidR="007A0801" w:rsidRPr="004C084F" w:rsidP="007A0801">
      <w:pPr>
        <w:ind w:left="567"/>
        <w:rPr>
          <w:rFonts w:cs="Arial"/>
          <w:b/>
          <w:caps/>
          <w:szCs w:val="22"/>
        </w:rPr>
      </w:pPr>
    </w:p>
    <w:p w:rsidR="001A24F9" w:rsidRPr="004C084F" w:rsidP="00D61B25">
      <w:pPr>
        <w:pStyle w:val="ListParagraph"/>
        <w:numPr>
          <w:ilvl w:val="0"/>
          <w:numId w:val="17"/>
        </w:numPr>
        <w:rPr>
          <w:rFonts w:ascii="Arial" w:hAnsi="Arial" w:cs="Arial"/>
          <w:caps/>
        </w:rPr>
      </w:pPr>
      <w:r w:rsidRPr="004C084F">
        <w:rPr>
          <w:rFonts w:ascii="Arial" w:hAnsi="Arial" w:cs="Arial"/>
        </w:rPr>
        <w:t>None</w:t>
      </w:r>
      <w:r>
        <w:rPr>
          <w:rFonts w:ascii="Arial" w:hAnsi="Arial" w:cs="Arial"/>
        </w:rPr>
        <w:t>.</w:t>
      </w:r>
    </w:p>
    <w:p w:rsidR="001A24F9" w:rsidRPr="004C084F" w:rsidP="002C71DE">
      <w:pPr>
        <w:rPr>
          <w:rFonts w:cs="Arial"/>
          <w:b/>
          <w:caps/>
          <w:szCs w:val="22"/>
        </w:rPr>
      </w:pPr>
      <w:r w:rsidRPr="004C084F">
        <w:rPr>
          <w:rFonts w:cs="Arial"/>
          <w:b/>
          <w:caps/>
          <w:szCs w:val="22"/>
        </w:rPr>
        <w:t>ICT/technology implications</w:t>
      </w:r>
    </w:p>
    <w:p w:rsidR="00D61B25" w:rsidRPr="004C084F" w:rsidP="001A24F9">
      <w:pPr>
        <w:rPr>
          <w:rFonts w:cs="Arial"/>
          <w:szCs w:val="22"/>
        </w:rPr>
      </w:pPr>
    </w:p>
    <w:p w:rsidR="001C1769" w:rsidRPr="004C084F" w:rsidP="00D61B25">
      <w:pPr>
        <w:pStyle w:val="ListParagraph"/>
        <w:numPr>
          <w:ilvl w:val="0"/>
          <w:numId w:val="17"/>
        </w:numPr>
        <w:rPr>
          <w:rFonts w:ascii="Arial" w:hAnsi="Arial" w:cs="Arial"/>
        </w:rPr>
      </w:pPr>
      <w:r w:rsidRPr="004C084F">
        <w:rPr>
          <w:rFonts w:ascii="Arial" w:hAnsi="Arial" w:cs="Arial"/>
        </w:rPr>
        <w:t>None</w:t>
      </w:r>
      <w:r>
        <w:rPr>
          <w:rFonts w:ascii="Arial" w:hAnsi="Arial" w:cs="Arial"/>
        </w:rPr>
        <w:t>.</w:t>
      </w:r>
    </w:p>
    <w:p w:rsidR="00D61B25" w:rsidRPr="004C084F" w:rsidP="001A24F9">
      <w:pPr>
        <w:rPr>
          <w:rFonts w:cs="Arial"/>
          <w:b/>
          <w:szCs w:val="22"/>
        </w:rPr>
      </w:pPr>
    </w:p>
    <w:p w:rsidR="001A24F9" w:rsidRPr="004C084F" w:rsidP="002C71DE">
      <w:pPr>
        <w:rPr>
          <w:rFonts w:cs="Arial"/>
          <w:b/>
          <w:caps/>
          <w:szCs w:val="22"/>
        </w:rPr>
      </w:pPr>
      <w:r w:rsidRPr="004C084F">
        <w:rPr>
          <w:rFonts w:cs="Arial"/>
          <w:b/>
          <w:caps/>
          <w:szCs w:val="22"/>
        </w:rPr>
        <w:t>Property and Asset Management implications</w:t>
      </w:r>
    </w:p>
    <w:p w:rsidR="00911FD5" w:rsidRPr="004C084F" w:rsidP="00911FD5">
      <w:pPr>
        <w:ind w:left="567"/>
        <w:rPr>
          <w:rFonts w:cs="Arial"/>
          <w:b/>
          <w:caps/>
          <w:szCs w:val="22"/>
        </w:rPr>
      </w:pPr>
    </w:p>
    <w:p w:rsidR="001A24F9" w:rsidRPr="004C084F" w:rsidP="00D61B25">
      <w:pPr>
        <w:pStyle w:val="ListParagraph"/>
        <w:numPr>
          <w:ilvl w:val="0"/>
          <w:numId w:val="17"/>
        </w:numPr>
        <w:rPr>
          <w:rFonts w:ascii="Arial" w:hAnsi="Arial" w:cs="Arial"/>
          <w:b/>
          <w:caps/>
        </w:rPr>
      </w:pPr>
      <w:r w:rsidRPr="004C084F">
        <w:rPr>
          <w:rFonts w:ascii="Arial" w:hAnsi="Arial" w:cs="Arial"/>
        </w:rPr>
        <w:t>These are fully explained in the main report.</w:t>
      </w:r>
    </w:p>
    <w:p w:rsidR="009063C4" w:rsidRPr="004C084F" w:rsidP="002C71DE">
      <w:pPr>
        <w:rPr>
          <w:rFonts w:cs="Arial"/>
          <w:b/>
          <w:szCs w:val="22"/>
        </w:rPr>
      </w:pPr>
    </w:p>
    <w:p w:rsidR="001A24F9" w:rsidRPr="004C084F" w:rsidP="002C71DE">
      <w:pPr>
        <w:rPr>
          <w:rFonts w:cs="Arial"/>
          <w:b/>
          <w:szCs w:val="22"/>
        </w:rPr>
      </w:pPr>
      <w:r w:rsidRPr="004C084F">
        <w:rPr>
          <w:rFonts w:cs="Arial"/>
          <w:b/>
          <w:szCs w:val="22"/>
        </w:rPr>
        <w:t>RISK MANAGEMENT</w:t>
      </w:r>
    </w:p>
    <w:p w:rsidR="00911FD5" w:rsidRPr="004C084F" w:rsidP="00911FD5">
      <w:pPr>
        <w:ind w:left="567"/>
        <w:rPr>
          <w:rFonts w:cs="Arial"/>
          <w:b/>
          <w:szCs w:val="22"/>
        </w:rPr>
      </w:pPr>
    </w:p>
    <w:p w:rsidR="008770BE" w:rsidRPr="00BA5224" w:rsidP="00BA5224">
      <w:pPr>
        <w:pStyle w:val="ListParagraph"/>
        <w:numPr>
          <w:ilvl w:val="0"/>
          <w:numId w:val="17"/>
        </w:numPr>
        <w:autoSpaceDE w:val="0"/>
        <w:autoSpaceDN w:val="0"/>
        <w:adjustRightInd w:val="0"/>
        <w:jc w:val="both"/>
        <w:rPr>
          <w:rFonts w:ascii="Arial" w:hAnsi="Arial" w:cs="Arial"/>
          <w:b/>
        </w:rPr>
      </w:pPr>
      <w:r w:rsidRPr="00BA5224">
        <w:rPr>
          <w:rFonts w:ascii="Arial" w:hAnsi="Arial" w:cs="Arial"/>
        </w:rPr>
        <w:t xml:space="preserve">There is a potential risk that the </w:t>
      </w:r>
      <w:r w:rsidRPr="00BA5224">
        <w:rPr>
          <w:rFonts w:ascii="Arial" w:hAnsi="Arial" w:cs="Arial"/>
        </w:rPr>
        <w:t>selected managing organisation may not renew the lease after the 7 year period, this will then require the council to select a new managing agent or to dispose of the accommodation and receipt the funds.</w:t>
      </w:r>
    </w:p>
    <w:p w:rsidR="002C71DE" w:rsidRPr="004C084F" w:rsidP="002C71DE">
      <w:pPr>
        <w:pStyle w:val="ListParagraph"/>
        <w:ind w:left="1080"/>
        <w:rPr>
          <w:rFonts w:ascii="Arial" w:hAnsi="Arial" w:cs="Arial"/>
          <w:b/>
        </w:rPr>
      </w:pPr>
    </w:p>
    <w:p w:rsidR="001A24F9" w:rsidRPr="004C084F" w:rsidP="002C71DE">
      <w:pPr>
        <w:rPr>
          <w:rFonts w:cs="Arial"/>
          <w:b/>
          <w:szCs w:val="22"/>
        </w:rPr>
      </w:pPr>
      <w:r w:rsidRPr="004C084F">
        <w:rPr>
          <w:rFonts w:cs="Arial"/>
          <w:b/>
          <w:szCs w:val="22"/>
        </w:rPr>
        <w:t>EQUALITY AND DIVERSITY IMPACT</w:t>
      </w:r>
    </w:p>
    <w:p w:rsidR="00911FD5" w:rsidRPr="004C084F" w:rsidP="00911FD5">
      <w:pPr>
        <w:ind w:left="567"/>
        <w:rPr>
          <w:rFonts w:cs="Arial"/>
          <w:b/>
          <w:szCs w:val="22"/>
        </w:rPr>
      </w:pPr>
    </w:p>
    <w:p w:rsidR="008770BE" w:rsidRPr="00BA5224" w:rsidP="00BA5224">
      <w:pPr>
        <w:pStyle w:val="ListParagraph"/>
        <w:numPr>
          <w:ilvl w:val="0"/>
          <w:numId w:val="17"/>
        </w:numPr>
        <w:autoSpaceDE w:val="0"/>
        <w:autoSpaceDN w:val="0"/>
        <w:adjustRightInd w:val="0"/>
        <w:jc w:val="both"/>
        <w:rPr>
          <w:rFonts w:ascii="Arial" w:hAnsi="Arial" w:cs="Arial"/>
          <w:b/>
        </w:rPr>
      </w:pPr>
      <w:r w:rsidRPr="00BA5224">
        <w:rPr>
          <w:rFonts w:ascii="Arial" w:hAnsi="Arial" w:cs="Arial"/>
        </w:rPr>
        <w:t>The Affordable Housi</w:t>
      </w:r>
      <w:r w:rsidRPr="00BA5224">
        <w:rPr>
          <w:rFonts w:ascii="Arial" w:hAnsi="Arial" w:cs="Arial"/>
        </w:rPr>
        <w:t>ng Commuted Sums Policy has previously been subject to an equality impact assessment. It was found to have a positive impact on the protected group of disability and a neutral impact on other protected groups.</w:t>
      </w:r>
    </w:p>
    <w:p w:rsidR="00BA5224" w:rsidP="002C71DE">
      <w:pPr>
        <w:rPr>
          <w:rFonts w:cs="Arial"/>
          <w:b/>
          <w:szCs w:val="22"/>
        </w:rPr>
      </w:pPr>
    </w:p>
    <w:p w:rsidR="002C71DE" w:rsidRPr="004C084F" w:rsidP="002C71DE">
      <w:pPr>
        <w:rPr>
          <w:rFonts w:cs="Arial"/>
          <w:b/>
          <w:szCs w:val="22"/>
        </w:rPr>
      </w:pPr>
      <w:r w:rsidRPr="004C084F">
        <w:rPr>
          <w:rFonts w:cs="Arial"/>
          <w:b/>
          <w:szCs w:val="22"/>
        </w:rPr>
        <w:t xml:space="preserve">RELEVANT DIRECTORS RECOMMENDATIONS </w:t>
      </w:r>
    </w:p>
    <w:p w:rsidR="002C71DE" w:rsidRPr="004C084F" w:rsidP="002C71DE">
      <w:pPr>
        <w:rPr>
          <w:rFonts w:cs="Arial"/>
          <w:b/>
          <w:szCs w:val="22"/>
        </w:rPr>
      </w:pPr>
    </w:p>
    <w:p w:rsidR="002C71DE" w:rsidRPr="00BA5224" w:rsidP="00BA5224">
      <w:pPr>
        <w:pStyle w:val="ListParagraph"/>
        <w:numPr>
          <w:ilvl w:val="0"/>
          <w:numId w:val="17"/>
        </w:numPr>
        <w:autoSpaceDE w:val="0"/>
        <w:autoSpaceDN w:val="0"/>
        <w:adjustRightInd w:val="0"/>
        <w:jc w:val="both"/>
        <w:rPr>
          <w:rFonts w:ascii="Arial" w:hAnsi="Arial" w:cs="Arial"/>
          <w:b/>
        </w:rPr>
      </w:pPr>
      <w:r>
        <w:rPr>
          <w:rFonts w:ascii="Arial" w:hAnsi="Arial" w:cs="Arial"/>
        </w:rPr>
        <w:t xml:space="preserve">Funding </w:t>
      </w:r>
      <w:r>
        <w:rPr>
          <w:rFonts w:ascii="Arial" w:hAnsi="Arial" w:cs="Arial"/>
        </w:rPr>
        <w:t xml:space="preserve">of </w:t>
      </w:r>
      <w:r w:rsidRPr="00BA5224">
        <w:rPr>
          <w:rFonts w:ascii="Arial" w:hAnsi="Arial" w:cs="Arial"/>
        </w:rPr>
        <w:t>£582,965 w</w:t>
      </w:r>
      <w:r>
        <w:rPr>
          <w:rFonts w:ascii="Arial" w:hAnsi="Arial" w:cs="Arial"/>
        </w:rPr>
        <w:t xml:space="preserve">as given to the </w:t>
      </w:r>
      <w:r w:rsidRPr="00BA5224">
        <w:rPr>
          <w:rFonts w:ascii="Arial" w:hAnsi="Arial" w:cs="Arial"/>
        </w:rPr>
        <w:t xml:space="preserve">scheme </w:t>
      </w:r>
      <w:r>
        <w:rPr>
          <w:rFonts w:ascii="Arial" w:hAnsi="Arial" w:cs="Arial"/>
        </w:rPr>
        <w:t xml:space="preserve"> by Cabinet in October 2018 in order to provide </w:t>
      </w:r>
      <w:r w:rsidRPr="00BA5224">
        <w:rPr>
          <w:rFonts w:ascii="Arial" w:hAnsi="Arial" w:cs="Arial"/>
        </w:rPr>
        <w:t xml:space="preserve">much needed affordable housing in the borough. The scheme will be managed by Community Gateway Association (CGA) with a management cost of 9% with an initial lease term of </w:t>
      </w:r>
      <w:r w:rsidRPr="00BA5224">
        <w:rPr>
          <w:rFonts w:ascii="Arial" w:hAnsi="Arial" w:cs="Arial"/>
        </w:rPr>
        <w:t>7 years, with an option to extend the lease. The total lease period, in order to break even on the investment would need to be for a period of 17.5 years.</w:t>
      </w:r>
    </w:p>
    <w:p w:rsidR="00024D64" w:rsidRPr="004C084F" w:rsidP="00024D64">
      <w:pPr>
        <w:rPr>
          <w:rFonts w:cs="Arial"/>
          <w:b/>
          <w:szCs w:val="22"/>
        </w:rPr>
      </w:pPr>
    </w:p>
    <w:p w:rsidR="000427E0" w:rsidRPr="004C084F" w:rsidP="002C71DE">
      <w:pPr>
        <w:rPr>
          <w:rFonts w:cs="Arial"/>
          <w:b/>
          <w:szCs w:val="22"/>
        </w:rPr>
      </w:pPr>
      <w:r w:rsidRPr="004C084F">
        <w:rPr>
          <w:rFonts w:cs="Arial"/>
          <w:b/>
          <w:szCs w:val="22"/>
        </w:rPr>
        <w:t>COMMENTS OF THE STATUTORY FINANCE OFFICER</w:t>
      </w:r>
    </w:p>
    <w:p w:rsidR="001A24F9" w:rsidRPr="004C084F" w:rsidP="001A24F9">
      <w:pPr>
        <w:rPr>
          <w:rFonts w:cs="Arial"/>
          <w:b/>
          <w:szCs w:val="22"/>
        </w:rPr>
      </w:pPr>
    </w:p>
    <w:p w:rsidR="00024D64" w:rsidRPr="004C084F" w:rsidP="00BA5224">
      <w:pPr>
        <w:pStyle w:val="ListParagraph"/>
        <w:numPr>
          <w:ilvl w:val="0"/>
          <w:numId w:val="17"/>
        </w:numPr>
        <w:autoSpaceDE w:val="0"/>
        <w:autoSpaceDN w:val="0"/>
        <w:adjustRightInd w:val="0"/>
        <w:jc w:val="both"/>
        <w:rPr>
          <w:rFonts w:ascii="Arial" w:hAnsi="Arial" w:cs="Arial"/>
        </w:rPr>
      </w:pPr>
      <w:r w:rsidRPr="004C084F">
        <w:rPr>
          <w:rFonts w:ascii="Arial" w:hAnsi="Arial" w:cs="Arial"/>
        </w:rPr>
        <w:t>The capital cost of the conversion can be met from existi</w:t>
      </w:r>
      <w:r w:rsidRPr="004C084F">
        <w:rPr>
          <w:rFonts w:ascii="Arial" w:hAnsi="Arial" w:cs="Arial"/>
        </w:rPr>
        <w:t>ng affordable housing s106 receipts held by the council.</w:t>
      </w:r>
    </w:p>
    <w:p w:rsidR="00024D64" w:rsidRPr="004C084F" w:rsidP="00024D64">
      <w:pPr>
        <w:rPr>
          <w:rFonts w:cs="Arial"/>
          <w:szCs w:val="22"/>
        </w:rPr>
      </w:pPr>
    </w:p>
    <w:p w:rsidR="00024D64" w:rsidRPr="004C084F" w:rsidP="00BA5224">
      <w:pPr>
        <w:pStyle w:val="ListParagraph"/>
        <w:numPr>
          <w:ilvl w:val="0"/>
          <w:numId w:val="17"/>
        </w:numPr>
        <w:autoSpaceDE w:val="0"/>
        <w:autoSpaceDN w:val="0"/>
        <w:adjustRightInd w:val="0"/>
        <w:jc w:val="both"/>
        <w:rPr>
          <w:rFonts w:ascii="Arial" w:hAnsi="Arial" w:cs="Arial"/>
        </w:rPr>
      </w:pPr>
      <w:r w:rsidRPr="004C084F">
        <w:rPr>
          <w:rFonts w:ascii="Arial" w:hAnsi="Arial" w:cs="Arial"/>
        </w:rPr>
        <w:t>The potential £33,282 net annual income from the proposed development following the conversion compares favourably with the commercial rental of £20,000 previously charged for the property. The coun</w:t>
      </w:r>
      <w:r w:rsidRPr="004C084F">
        <w:rPr>
          <w:rFonts w:ascii="Arial" w:hAnsi="Arial" w:cs="Arial"/>
        </w:rPr>
        <w:t xml:space="preserve">cil would retain responsibility for the costs associated with external maintenance and repair and insurance cover but there would be more certainty in relation to annual income as the risk of voids would be transferred to </w:t>
      </w:r>
      <w:bookmarkStart w:id="1" w:name="_Hlk30661890"/>
      <w:r w:rsidRPr="004C084F">
        <w:rPr>
          <w:rFonts w:ascii="Arial" w:hAnsi="Arial" w:cs="Arial"/>
        </w:rPr>
        <w:t>Community Gateway Association (CGA</w:t>
      </w:r>
      <w:r w:rsidRPr="004C084F">
        <w:rPr>
          <w:rFonts w:ascii="Arial" w:hAnsi="Arial" w:cs="Arial"/>
        </w:rPr>
        <w:t>).</w:t>
      </w:r>
    </w:p>
    <w:p w:rsidR="001A24F9" w:rsidRPr="004C084F" w:rsidP="002C71DE">
      <w:pPr>
        <w:rPr>
          <w:rFonts w:cs="Arial"/>
          <w:b/>
          <w:szCs w:val="22"/>
        </w:rPr>
      </w:pPr>
      <w:bookmarkEnd w:id="1"/>
      <w:r w:rsidRPr="004C084F">
        <w:rPr>
          <w:rFonts w:cs="Arial"/>
          <w:b/>
          <w:szCs w:val="22"/>
        </w:rPr>
        <w:t>COMMENTS OF THE MONITORING OFFICER</w:t>
      </w:r>
    </w:p>
    <w:p w:rsidR="000427E0" w:rsidRPr="004C084F" w:rsidP="00024D64">
      <w:pPr>
        <w:rPr>
          <w:rFonts w:cs="Arial"/>
          <w:b/>
          <w:szCs w:val="22"/>
        </w:rPr>
      </w:pPr>
    </w:p>
    <w:p w:rsidR="00024D64" w:rsidRPr="004C084F" w:rsidP="00BA5224">
      <w:pPr>
        <w:pStyle w:val="ListParagraph"/>
        <w:numPr>
          <w:ilvl w:val="0"/>
          <w:numId w:val="17"/>
        </w:numPr>
        <w:jc w:val="both"/>
        <w:rPr>
          <w:rFonts w:ascii="Arial" w:hAnsi="Arial" w:cs="Arial"/>
        </w:rPr>
      </w:pPr>
      <w:r w:rsidRPr="004C084F">
        <w:rPr>
          <w:rFonts w:ascii="Arial" w:hAnsi="Arial" w:cs="Arial"/>
        </w:rPr>
        <w:t xml:space="preserve">There are no fundamental concerns with what is proposed. There are extensive Section 106 monies that can pay for the costs of the conversation. We shall ensure that appropriate contract documentation is entered </w:t>
      </w:r>
      <w:r w:rsidRPr="004C084F">
        <w:rPr>
          <w:rFonts w:ascii="Arial" w:hAnsi="Arial" w:cs="Arial"/>
        </w:rPr>
        <w:t>into with the new Association.</w:t>
      </w:r>
    </w:p>
    <w:p w:rsidR="00BA5224" w:rsidP="002C71DE">
      <w:pPr>
        <w:rPr>
          <w:rFonts w:cs="Arial"/>
          <w:b/>
          <w:szCs w:val="22"/>
        </w:rPr>
      </w:pPr>
    </w:p>
    <w:p w:rsidR="001A24F9" w:rsidRPr="004C084F" w:rsidP="002C71DE">
      <w:pPr>
        <w:rPr>
          <w:rFonts w:cs="Arial"/>
          <w:b/>
          <w:szCs w:val="22"/>
        </w:rPr>
      </w:pPr>
      <w:r w:rsidRPr="004C084F">
        <w:rPr>
          <w:rFonts w:cs="Arial"/>
          <w:b/>
          <w:szCs w:val="22"/>
        </w:rPr>
        <w:t xml:space="preserve">BACKGROUND DOCUMENTS </w:t>
      </w:r>
    </w:p>
    <w:p w:rsidR="00024D64" w:rsidRPr="004C084F" w:rsidP="00024D64">
      <w:pPr>
        <w:rPr>
          <w:rFonts w:cs="Arial"/>
          <w:b/>
          <w:color w:val="2E74B5" w:themeColor="accent1" w:themeShade="BF"/>
          <w:szCs w:val="22"/>
        </w:rPr>
      </w:pPr>
    </w:p>
    <w:p w:rsidR="00024D64" w:rsidRPr="004C084F" w:rsidP="00D61B25">
      <w:pPr>
        <w:pStyle w:val="ListParagraph"/>
        <w:numPr>
          <w:ilvl w:val="0"/>
          <w:numId w:val="17"/>
        </w:numPr>
        <w:rPr>
          <w:rFonts w:ascii="Arial" w:hAnsi="Arial" w:cs="Arial"/>
        </w:rPr>
      </w:pPr>
      <w:r w:rsidRPr="004C084F">
        <w:rPr>
          <w:rFonts w:ascii="Arial" w:hAnsi="Arial" w:cs="Arial"/>
        </w:rPr>
        <w:t>Previous Cabinet Report dated 17</w:t>
      </w:r>
      <w:r w:rsidRPr="004C084F">
        <w:rPr>
          <w:rFonts w:ascii="Arial" w:hAnsi="Arial" w:cs="Arial"/>
          <w:vertAlign w:val="superscript"/>
        </w:rPr>
        <w:t>th</w:t>
      </w:r>
      <w:r w:rsidRPr="004C084F">
        <w:rPr>
          <w:rFonts w:ascii="Arial" w:hAnsi="Arial" w:cs="Arial"/>
        </w:rPr>
        <w:t xml:space="preserve"> October 2018 </w:t>
      </w:r>
    </w:p>
    <w:p w:rsidR="004C2F94" w:rsidRPr="004C084F" w:rsidP="004C2F94">
      <w:pPr>
        <w:rPr>
          <w:rFonts w:cs="Arial"/>
          <w:b/>
          <w:szCs w:val="22"/>
        </w:rPr>
      </w:pPr>
    </w:p>
    <w:p w:rsidR="0037228A" w:rsidRPr="004C084F" w:rsidP="004C2F94">
      <w:pPr>
        <w:ind w:left="720" w:hanging="720"/>
        <w:rPr>
          <w:rFonts w:cs="Arial"/>
          <w:szCs w:val="22"/>
        </w:rPr>
      </w:pPr>
      <w:r w:rsidRPr="004C084F">
        <w:rPr>
          <w:rFonts w:cs="Arial"/>
          <w:szCs w:val="22"/>
        </w:rPr>
        <w:t>Appendix A - Location Plan</w:t>
      </w:r>
    </w:p>
    <w:p w:rsidR="0037228A" w:rsidRPr="004C084F" w:rsidP="004C2F94">
      <w:pPr>
        <w:ind w:left="720" w:hanging="720"/>
        <w:rPr>
          <w:rFonts w:cs="Arial"/>
          <w:szCs w:val="22"/>
        </w:rPr>
      </w:pPr>
      <w:r w:rsidRPr="004C084F">
        <w:rPr>
          <w:rFonts w:cs="Arial"/>
          <w:szCs w:val="22"/>
        </w:rPr>
        <w:t>Appendix B -  Site Layout</w:t>
      </w:r>
    </w:p>
    <w:p w:rsidR="0037228A" w:rsidRPr="004C084F" w:rsidP="0037228A">
      <w:pPr>
        <w:tabs>
          <w:tab w:val="left" w:pos="2839"/>
        </w:tabs>
        <w:ind w:left="1146"/>
        <w:rPr>
          <w:rFonts w:cs="Arial"/>
          <w:b/>
          <w:szCs w:val="22"/>
        </w:rPr>
      </w:pPr>
    </w:p>
    <w:p w:rsidR="00024D64" w:rsidRPr="004C084F" w:rsidP="00024D64">
      <w:pPr>
        <w:tabs>
          <w:tab w:val="left" w:pos="2839"/>
        </w:tabs>
        <w:ind w:left="426" w:hanging="426"/>
        <w:rPr>
          <w:rFonts w:cs="Arial"/>
          <w:b/>
          <w:color w:val="2E74B5" w:themeColor="accent1" w:themeShade="BF"/>
          <w:szCs w:val="22"/>
        </w:rPr>
      </w:pPr>
    </w:p>
    <w:p w:rsidR="00024D64" w:rsidRPr="004C084F" w:rsidP="00024D64">
      <w:pPr>
        <w:tabs>
          <w:tab w:val="left" w:pos="2839"/>
        </w:tabs>
        <w:ind w:left="426" w:hanging="426"/>
        <w:rPr>
          <w:rFonts w:cs="Arial"/>
          <w:b/>
          <w:color w:val="2E74B5" w:themeColor="accent1" w:themeShade="BF"/>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2"/>
        <w:gridCol w:w="1554"/>
        <w:gridCol w:w="2354"/>
      </w:tblGrid>
      <w:tr w:rsidTr="0031059E">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700" w:type="dxa"/>
            <w:shd w:val="clear" w:color="auto" w:fill="auto"/>
          </w:tcPr>
          <w:p w:rsidR="0037228A" w:rsidRPr="004C084F" w:rsidP="0031059E">
            <w:pPr>
              <w:rPr>
                <w:rFonts w:cs="Arial"/>
                <w:szCs w:val="22"/>
              </w:rPr>
            </w:pPr>
            <w:r w:rsidRPr="004C084F">
              <w:rPr>
                <w:rFonts w:cs="Arial"/>
                <w:szCs w:val="22"/>
              </w:rPr>
              <w:t>Report Author:</w:t>
            </w:r>
          </w:p>
        </w:tc>
        <w:tc>
          <w:tcPr>
            <w:tcW w:w="1559" w:type="dxa"/>
            <w:shd w:val="clear" w:color="auto" w:fill="auto"/>
          </w:tcPr>
          <w:p w:rsidR="0037228A" w:rsidRPr="004C084F" w:rsidP="0031059E">
            <w:pPr>
              <w:rPr>
                <w:rFonts w:cs="Arial"/>
                <w:szCs w:val="22"/>
              </w:rPr>
            </w:pPr>
            <w:r w:rsidRPr="004C084F">
              <w:rPr>
                <w:rFonts w:cs="Arial"/>
                <w:szCs w:val="22"/>
              </w:rPr>
              <w:t>Telephone:</w:t>
            </w:r>
          </w:p>
        </w:tc>
        <w:tc>
          <w:tcPr>
            <w:tcW w:w="2380" w:type="dxa"/>
            <w:shd w:val="clear" w:color="auto" w:fill="auto"/>
          </w:tcPr>
          <w:p w:rsidR="0037228A" w:rsidRPr="004C084F" w:rsidP="0031059E">
            <w:pPr>
              <w:rPr>
                <w:rFonts w:cs="Arial"/>
                <w:szCs w:val="22"/>
              </w:rPr>
            </w:pPr>
            <w:r w:rsidRPr="004C084F">
              <w:rPr>
                <w:rFonts w:cs="Arial"/>
                <w:szCs w:val="22"/>
              </w:rPr>
              <w:t>Date:</w:t>
            </w:r>
          </w:p>
        </w:tc>
      </w:tr>
      <w:tr w:rsidTr="0031059E">
        <w:tblPrEx>
          <w:tblW w:w="0" w:type="auto"/>
          <w:tblInd w:w="108" w:type="dxa"/>
          <w:tblLook w:val="04A0"/>
        </w:tblPrEx>
        <w:tc>
          <w:tcPr>
            <w:tcW w:w="5700" w:type="dxa"/>
            <w:shd w:val="clear" w:color="auto" w:fill="auto"/>
          </w:tcPr>
          <w:p w:rsidR="0037228A" w:rsidRPr="004C084F" w:rsidP="0031059E">
            <w:pPr>
              <w:rPr>
                <w:rFonts w:cs="Arial"/>
                <w:szCs w:val="22"/>
              </w:rPr>
            </w:pPr>
            <w:r w:rsidRPr="004C084F">
              <w:rPr>
                <w:rFonts w:cs="Arial"/>
                <w:szCs w:val="22"/>
              </w:rPr>
              <w:t>Pradip Patel</w:t>
            </w:r>
          </w:p>
          <w:p w:rsidR="0037228A" w:rsidRPr="004C084F" w:rsidP="0031059E">
            <w:pPr>
              <w:ind w:left="-539" w:firstLine="539"/>
              <w:rPr>
                <w:rFonts w:cs="Arial"/>
                <w:szCs w:val="22"/>
              </w:rPr>
            </w:pPr>
          </w:p>
        </w:tc>
        <w:tc>
          <w:tcPr>
            <w:tcW w:w="1559" w:type="dxa"/>
            <w:shd w:val="clear" w:color="auto" w:fill="auto"/>
          </w:tcPr>
          <w:p w:rsidR="0037228A" w:rsidRPr="004C084F" w:rsidP="0031059E">
            <w:pPr>
              <w:rPr>
                <w:rFonts w:cs="Arial"/>
                <w:szCs w:val="22"/>
              </w:rPr>
            </w:pPr>
            <w:r w:rsidRPr="004C084F">
              <w:rPr>
                <w:rFonts w:cs="Arial"/>
                <w:szCs w:val="22"/>
              </w:rPr>
              <w:t>01772 625365</w:t>
            </w:r>
          </w:p>
        </w:tc>
        <w:tc>
          <w:tcPr>
            <w:tcW w:w="2380" w:type="dxa"/>
            <w:shd w:val="clear" w:color="auto" w:fill="auto"/>
          </w:tcPr>
          <w:p w:rsidR="0037228A" w:rsidRPr="004C084F" w:rsidP="0031059E">
            <w:pPr>
              <w:rPr>
                <w:rFonts w:cs="Arial"/>
                <w:szCs w:val="22"/>
              </w:rPr>
            </w:pPr>
            <w:r w:rsidRPr="004C084F">
              <w:rPr>
                <w:rFonts w:cs="Arial"/>
                <w:szCs w:val="22"/>
              </w:rPr>
              <w:t>23</w:t>
            </w:r>
            <w:r w:rsidRPr="004C084F">
              <w:rPr>
                <w:rFonts w:cs="Arial"/>
                <w:szCs w:val="22"/>
                <w:vertAlign w:val="superscript"/>
              </w:rPr>
              <w:t>rd</w:t>
            </w:r>
            <w:r w:rsidRPr="004C084F">
              <w:rPr>
                <w:rFonts w:cs="Arial"/>
                <w:szCs w:val="22"/>
              </w:rPr>
              <w:t xml:space="preserve"> January 2020</w:t>
            </w:r>
          </w:p>
        </w:tc>
      </w:tr>
    </w:tbl>
    <w:p w:rsidR="002F5C5E" w:rsidRPr="009725FB" w:rsidP="004C2F94">
      <w:pPr>
        <w:rPr>
          <w:rFonts w:cs="Arial"/>
        </w:rPr>
      </w:pPr>
    </w:p>
    <w:sectPr w:rsidSect="00E971A2">
      <w:type w:val="continuous"/>
      <w:pgSz w:w="11906" w:h="16838" w:code="9"/>
      <w:pgMar w:top="113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C647D2"/>
    <w:multiLevelType w:val="hybridMultilevel"/>
    <w:tmpl w:val="14BAA886"/>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
    <w:nsid w:val="10611A26"/>
    <w:multiLevelType w:val="hybridMultilevel"/>
    <w:tmpl w:val="A9B88FD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nsid w:val="12F85F9F"/>
    <w:multiLevelType w:val="hybridMultilevel"/>
    <w:tmpl w:val="0F2686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31453A"/>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14E71A29"/>
    <w:multiLevelType w:val="hybridMultilevel"/>
    <w:tmpl w:val="3E2A2D48"/>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B67A8A"/>
    <w:multiLevelType w:val="hybridMultilevel"/>
    <w:tmpl w:val="C1FEE3B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B3B30FA"/>
    <w:multiLevelType w:val="hybridMultilevel"/>
    <w:tmpl w:val="DAE04D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2EA7385"/>
    <w:multiLevelType w:val="hybridMultilevel"/>
    <w:tmpl w:val="26F4CAD4"/>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84C6DE7"/>
    <w:multiLevelType w:val="hybridMultilevel"/>
    <w:tmpl w:val="3CC2707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3EAD3D6B"/>
    <w:multiLevelType w:val="hybridMultilevel"/>
    <w:tmpl w:val="F6081804"/>
    <w:lvl w:ilvl="0">
      <w:start w:val="1"/>
      <w:numFmt w:val="bullet"/>
      <w:lvlText w:val=""/>
      <w:lvlJc w:val="left"/>
      <w:pPr>
        <w:ind w:left="360" w:hanging="360"/>
      </w:pPr>
      <w:rPr>
        <w:rFonts w:ascii="Wingdings 3" w:hAnsi="Wingdings 3"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420D409B"/>
    <w:multiLevelType w:val="hybridMultilevel"/>
    <w:tmpl w:val="6744326E"/>
    <w:lvl w:ilvl="0">
      <w:start w:val="1"/>
      <w:numFmt w:val="decimal"/>
      <w:lvlText w:val="%1."/>
      <w:lvlJc w:val="left"/>
      <w:pPr>
        <w:ind w:left="720" w:hanging="360"/>
      </w:pPr>
      <w:rPr>
        <w:rFonts w:ascii="Arial" w:hAnsi="Arial" w:cs="Arial" w:hint="default"/>
        <w:b/>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DE5625E"/>
    <w:multiLevelType w:val="hybridMultilevel"/>
    <w:tmpl w:val="067661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03357E2"/>
    <w:multiLevelType w:val="multilevel"/>
    <w:tmpl w:val="88BC0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E127414"/>
    <w:multiLevelType w:val="hybridMultilevel"/>
    <w:tmpl w:val="CA5CB6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0CE583C"/>
    <w:multiLevelType w:val="multilevel"/>
    <w:tmpl w:val="84BCA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13"/>
  </w:num>
  <w:num w:numId="4">
    <w:abstractNumId w:val="6"/>
  </w:num>
  <w:num w:numId="5">
    <w:abstractNumId w:val="9"/>
  </w:num>
  <w:num w:numId="6">
    <w:abstractNumId w:val="5"/>
  </w:num>
  <w:num w:numId="7">
    <w:abstractNumId w:val="2"/>
  </w:num>
  <w:num w:numId="8">
    <w:abstractNumId w:val="3"/>
  </w:num>
  <w:num w:numId="9">
    <w:abstractNumId w:val="0"/>
  </w:num>
  <w:num w:numId="10">
    <w:abstractNumId w:val="1"/>
  </w:num>
  <w:num w:numId="11">
    <w:abstractNumId w:val="4"/>
  </w:num>
  <w:num w:numId="12">
    <w:abstractNumId w:val="10"/>
  </w:num>
  <w:num w:numId="13">
    <w:abstractNumId w:val="15"/>
  </w:num>
  <w:num w:numId="14">
    <w:abstractNumId w:val="7"/>
  </w:num>
  <w:num w:numId="15">
    <w:abstractNumId w:val="1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393E13"/>
    <w:rPr>
      <w:sz w:val="16"/>
      <w:szCs w:val="16"/>
    </w:rPr>
  </w:style>
  <w:style w:type="paragraph" w:styleId="CommentText">
    <w:name w:val="annotation text"/>
    <w:basedOn w:val="Normal"/>
    <w:link w:val="CommentTextChar"/>
    <w:uiPriority w:val="99"/>
    <w:semiHidden/>
    <w:unhideWhenUsed/>
    <w:rsid w:val="00393E13"/>
    <w:rPr>
      <w:sz w:val="20"/>
    </w:rPr>
  </w:style>
  <w:style w:type="character" w:customStyle="1" w:styleId="CommentTextChar">
    <w:name w:val="Comment Text Char"/>
    <w:basedOn w:val="DefaultParagraphFont"/>
    <w:link w:val="CommentText"/>
    <w:uiPriority w:val="99"/>
    <w:semiHidden/>
    <w:rsid w:val="00393E13"/>
    <w:rPr>
      <w:rFonts w:ascii="Arial" w:hAnsi="Arial"/>
    </w:rPr>
  </w:style>
  <w:style w:type="paragraph" w:styleId="CommentSubject">
    <w:name w:val="annotation subject"/>
    <w:basedOn w:val="CommentText"/>
    <w:next w:val="CommentText"/>
    <w:link w:val="CommentSubjectChar"/>
    <w:uiPriority w:val="99"/>
    <w:semiHidden/>
    <w:unhideWhenUsed/>
    <w:rsid w:val="00393E13"/>
    <w:rPr>
      <w:b/>
      <w:bCs/>
    </w:rPr>
  </w:style>
  <w:style w:type="character" w:customStyle="1" w:styleId="CommentSubjectChar">
    <w:name w:val="Comment Subject Char"/>
    <w:basedOn w:val="CommentTextChar"/>
    <w:link w:val="CommentSubject"/>
    <w:uiPriority w:val="99"/>
    <w:semiHidden/>
    <w:rsid w:val="00393E1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8D15D-AD6C-4A23-B98B-5DCC57AB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TotalTime>
  <Pages>4</Pages>
  <Words>1411</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Nina Neisser</cp:lastModifiedBy>
  <cp:revision>5</cp:revision>
  <cp:lastPrinted>2018-03-14T11:21:00Z</cp:lastPrinted>
  <dcterms:created xsi:type="dcterms:W3CDTF">2020-02-27T16:22:00Z</dcterms:created>
  <dcterms:modified xsi:type="dcterms:W3CDTF">2020-02-28T09:49:00Z</dcterms:modified>
</cp:coreProperties>
</file>